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FCB" w:rsidRPr="007A2C81" w:rsidRDefault="005A0FCB" w:rsidP="00BE5623">
      <w:pPr>
        <w:jc w:val="center"/>
        <w:rPr>
          <w:iCs/>
          <w:szCs w:val="24"/>
        </w:rPr>
      </w:pPr>
      <w:r w:rsidRPr="007A2C81">
        <w:rPr>
          <w:szCs w:val="24"/>
        </w:rPr>
        <w:t xml:space="preserve">Reflections on </w:t>
      </w:r>
      <w:r w:rsidRPr="007A2C81">
        <w:rPr>
          <w:i/>
          <w:iCs/>
          <w:szCs w:val="24"/>
        </w:rPr>
        <w:t>Naming and Necessity</w:t>
      </w:r>
    </w:p>
    <w:p w:rsidR="00295CE0" w:rsidRPr="007A2C81" w:rsidRDefault="00295CE0" w:rsidP="00BE5623">
      <w:pPr>
        <w:jc w:val="center"/>
        <w:rPr>
          <w:szCs w:val="24"/>
        </w:rPr>
      </w:pPr>
      <w:r w:rsidRPr="007A2C81">
        <w:rPr>
          <w:rFonts w:cs="Times New Roman"/>
          <w:szCs w:val="24"/>
          <w:lang w:bidi="en-US"/>
        </w:rPr>
        <w:t>Forthcoming in</w:t>
      </w:r>
      <w:r w:rsidRPr="007A2C81">
        <w:rPr>
          <w:rFonts w:cs="Times New Roman"/>
          <w:i/>
          <w:szCs w:val="24"/>
          <w:lang w:bidi="en-US"/>
        </w:rPr>
        <w:t xml:space="preserve"> </w:t>
      </w:r>
      <w:proofErr w:type="spellStart"/>
      <w:r w:rsidRPr="007A2C81">
        <w:rPr>
          <w:rFonts w:cs="Times New Roman"/>
          <w:i/>
          <w:szCs w:val="24"/>
          <w:lang w:bidi="en-US"/>
        </w:rPr>
        <w:t>Gogoa</w:t>
      </w:r>
      <w:proofErr w:type="spellEnd"/>
      <w:r w:rsidRPr="007A2C81">
        <w:rPr>
          <w:rFonts w:cs="Times New Roman"/>
          <w:szCs w:val="24"/>
          <w:lang w:bidi="en-US"/>
        </w:rPr>
        <w:t xml:space="preserve"> (translated into Basque by Kepa Korta)</w:t>
      </w:r>
    </w:p>
    <w:p w:rsidR="0053166B" w:rsidRPr="007A2C81" w:rsidRDefault="00EF6EE3" w:rsidP="00BE5623">
      <w:pPr>
        <w:jc w:val="center"/>
        <w:rPr>
          <w:szCs w:val="24"/>
        </w:rPr>
      </w:pPr>
      <w:r w:rsidRPr="007A2C81">
        <w:rPr>
          <w:szCs w:val="24"/>
        </w:rPr>
        <w:t>Michael Devitt</w:t>
      </w:r>
    </w:p>
    <w:p w:rsidR="00357947" w:rsidRPr="007A2C81" w:rsidRDefault="00357947" w:rsidP="00BE5623">
      <w:pPr>
        <w:jc w:val="center"/>
        <w:rPr>
          <w:szCs w:val="24"/>
        </w:rPr>
      </w:pPr>
      <w:r w:rsidRPr="007A2C81">
        <w:rPr>
          <w:szCs w:val="24"/>
        </w:rPr>
        <w:t>Graduate Center, City University of New York</w:t>
      </w:r>
    </w:p>
    <w:p w:rsidR="00EF6EE3" w:rsidRDefault="00A46469" w:rsidP="00BE5623">
      <w:pPr>
        <w:rPr>
          <w:szCs w:val="24"/>
        </w:rPr>
      </w:pPr>
      <w:r>
        <w:rPr>
          <w:szCs w:val="24"/>
        </w:rPr>
        <w:t>ABSTRACT</w:t>
      </w:r>
    </w:p>
    <w:p w:rsidR="002C4F5A" w:rsidRDefault="002C4F5A" w:rsidP="002C4F5A">
      <w:pPr>
        <w:rPr>
          <w:szCs w:val="24"/>
        </w:rPr>
      </w:pPr>
      <w:r>
        <w:rPr>
          <w:szCs w:val="24"/>
        </w:rPr>
        <w:t>This paper celebrates the fortieth anniversary of</w:t>
      </w:r>
      <w:r w:rsidRPr="007A2C81">
        <w:rPr>
          <w:szCs w:val="24"/>
        </w:rPr>
        <w:t xml:space="preserve"> </w:t>
      </w:r>
      <w:r w:rsidRPr="007A2C81">
        <w:rPr>
          <w:i/>
          <w:szCs w:val="24"/>
        </w:rPr>
        <w:t>Naming and Necessity</w:t>
      </w:r>
      <w:r w:rsidRPr="007A2C81">
        <w:rPr>
          <w:szCs w:val="24"/>
        </w:rPr>
        <w:t xml:space="preserve"> </w:t>
      </w:r>
      <w:r>
        <w:rPr>
          <w:szCs w:val="24"/>
        </w:rPr>
        <w:t>by gathering together some reflections I have made on that work over the years. The paper</w:t>
      </w:r>
      <w:r w:rsidRPr="007A2C81">
        <w:rPr>
          <w:szCs w:val="24"/>
        </w:rPr>
        <w:t xml:space="preserve"> focus</w:t>
      </w:r>
      <w:r>
        <w:rPr>
          <w:szCs w:val="24"/>
        </w:rPr>
        <w:t>es</w:t>
      </w:r>
      <w:r w:rsidRPr="007A2C81">
        <w:rPr>
          <w:szCs w:val="24"/>
        </w:rPr>
        <w:t xml:space="preserve"> on aspects of the book that I think have been misunderstood, overlooked, mistakenly rejected, or simply merit more emphasis.</w:t>
      </w:r>
      <w:r>
        <w:rPr>
          <w:szCs w:val="24"/>
        </w:rPr>
        <w:t xml:space="preserve"> The paper starts with the philosophy of language, first discussing</w:t>
      </w:r>
      <w:r w:rsidRPr="007A2C81">
        <w:rPr>
          <w:szCs w:val="24"/>
        </w:rPr>
        <w:t xml:space="preserve"> </w:t>
      </w:r>
      <w:proofErr w:type="spellStart"/>
      <w:r w:rsidRPr="007A2C81">
        <w:rPr>
          <w:szCs w:val="24"/>
        </w:rPr>
        <w:t>Kripke’s</w:t>
      </w:r>
      <w:proofErr w:type="spellEnd"/>
      <w:r w:rsidRPr="007A2C81">
        <w:rPr>
          <w:szCs w:val="24"/>
        </w:rPr>
        <w:t xml:space="preserve"> most powerful argument against description theories of reference</w:t>
      </w:r>
      <w:r>
        <w:rPr>
          <w:szCs w:val="24"/>
        </w:rPr>
        <w:t xml:space="preserve">, the “ignorance and error” argument. It then considers </w:t>
      </w:r>
      <w:proofErr w:type="spellStart"/>
      <w:r>
        <w:rPr>
          <w:szCs w:val="24"/>
        </w:rPr>
        <w:t>Kripke’s</w:t>
      </w:r>
      <w:proofErr w:type="spellEnd"/>
      <w:r>
        <w:rPr>
          <w:szCs w:val="24"/>
        </w:rPr>
        <w:t xml:space="preserve"> causal-historical “better picture”, his discussion of rigidity, and finally, “</w:t>
      </w:r>
      <w:r w:rsidRPr="007A2C81">
        <w:rPr>
          <w:szCs w:val="24"/>
        </w:rPr>
        <w:t>direct reference</w:t>
      </w:r>
      <w:r>
        <w:rPr>
          <w:szCs w:val="24"/>
        </w:rPr>
        <w:t>”, an implausible doctrine that has been wrongly attributed to Kripke</w:t>
      </w:r>
      <w:r w:rsidRPr="007A2C81">
        <w:rPr>
          <w:szCs w:val="24"/>
        </w:rPr>
        <w:t>.</w:t>
      </w:r>
      <w:r w:rsidRPr="00A136E8">
        <w:rPr>
          <w:szCs w:val="24"/>
        </w:rPr>
        <w:t xml:space="preserve"> </w:t>
      </w:r>
      <w:r w:rsidRPr="007A2C81">
        <w:rPr>
          <w:szCs w:val="24"/>
        </w:rPr>
        <w:t>The</w:t>
      </w:r>
      <w:r>
        <w:rPr>
          <w:szCs w:val="24"/>
        </w:rPr>
        <w:t xml:space="preserve"> rest of the paper is</w:t>
      </w:r>
      <w:r w:rsidRPr="007A2C81">
        <w:rPr>
          <w:szCs w:val="24"/>
        </w:rPr>
        <w:t xml:space="preserve"> </w:t>
      </w:r>
      <w:r>
        <w:rPr>
          <w:szCs w:val="24"/>
        </w:rPr>
        <w:t>concerned with essentialist doctrines that Kripke has urged</w:t>
      </w:r>
      <w:r w:rsidRPr="007A2C81">
        <w:rPr>
          <w:szCs w:val="24"/>
        </w:rPr>
        <w:t xml:space="preserve"> </w:t>
      </w:r>
      <w:r>
        <w:rPr>
          <w:szCs w:val="24"/>
        </w:rPr>
        <w:t xml:space="preserve">about </w:t>
      </w:r>
      <w:r w:rsidRPr="007A2C81">
        <w:rPr>
          <w:szCs w:val="24"/>
        </w:rPr>
        <w:t>biological kind</w:t>
      </w:r>
      <w:r>
        <w:rPr>
          <w:szCs w:val="24"/>
        </w:rPr>
        <w:t>s</w:t>
      </w:r>
      <w:r w:rsidRPr="007A2C81">
        <w:rPr>
          <w:szCs w:val="24"/>
        </w:rPr>
        <w:t>, chemical kind</w:t>
      </w:r>
      <w:r>
        <w:rPr>
          <w:szCs w:val="24"/>
        </w:rPr>
        <w:t>s</w:t>
      </w:r>
      <w:r w:rsidRPr="007A2C81">
        <w:rPr>
          <w:szCs w:val="24"/>
        </w:rPr>
        <w:t>,</w:t>
      </w:r>
      <w:r>
        <w:rPr>
          <w:szCs w:val="24"/>
        </w:rPr>
        <w:t xml:space="preserve"> and </w:t>
      </w:r>
      <w:r w:rsidRPr="007A2C81">
        <w:rPr>
          <w:szCs w:val="24"/>
        </w:rPr>
        <w:t>individual</w:t>
      </w:r>
      <w:r>
        <w:rPr>
          <w:szCs w:val="24"/>
        </w:rPr>
        <w:t xml:space="preserve">s. These doctrines have been trenchantly criticized by some philosophers of science. I think that the relevant sciences </w:t>
      </w:r>
      <w:r w:rsidR="00673B97">
        <w:rPr>
          <w:szCs w:val="24"/>
        </w:rPr>
        <w:t>support Kripke not the critics.</w:t>
      </w:r>
    </w:p>
    <w:p w:rsidR="00A46469" w:rsidRDefault="00A46469" w:rsidP="002C4F5A">
      <w:pPr>
        <w:rPr>
          <w:szCs w:val="24"/>
        </w:rPr>
      </w:pPr>
    </w:p>
    <w:p w:rsidR="00A46469" w:rsidRDefault="00A46469" w:rsidP="00BE5623">
      <w:pPr>
        <w:rPr>
          <w:szCs w:val="24"/>
        </w:rPr>
      </w:pPr>
      <w:r>
        <w:rPr>
          <w:szCs w:val="24"/>
        </w:rPr>
        <w:t>Key words</w:t>
      </w:r>
    </w:p>
    <w:p w:rsidR="002C4F5A" w:rsidRDefault="002C4F5A" w:rsidP="00BE5623">
      <w:pPr>
        <w:rPr>
          <w:szCs w:val="24"/>
        </w:rPr>
      </w:pPr>
      <w:r>
        <w:rPr>
          <w:szCs w:val="24"/>
        </w:rPr>
        <w:t>Description theories, causal-historical theories, rigidity, direct reference, biological essentialism, chemical essentialism, individual essentialism</w:t>
      </w:r>
    </w:p>
    <w:p w:rsidR="002C4F5A" w:rsidRPr="007A2C81" w:rsidRDefault="002C4F5A" w:rsidP="00BE5623">
      <w:pPr>
        <w:rPr>
          <w:szCs w:val="24"/>
        </w:rPr>
      </w:pPr>
    </w:p>
    <w:p w:rsidR="00646DA2" w:rsidRPr="007A2C81" w:rsidRDefault="00646DA2" w:rsidP="00BE5623">
      <w:pPr>
        <w:rPr>
          <w:b/>
          <w:szCs w:val="24"/>
        </w:rPr>
      </w:pPr>
      <w:r w:rsidRPr="007A2C81">
        <w:rPr>
          <w:b/>
          <w:szCs w:val="24"/>
        </w:rPr>
        <w:t>1. Introduction</w:t>
      </w:r>
    </w:p>
    <w:p w:rsidR="00646DA2" w:rsidRPr="007A2C81" w:rsidRDefault="00646DA2" w:rsidP="00BE5623">
      <w:pPr>
        <w:rPr>
          <w:szCs w:val="24"/>
        </w:rPr>
      </w:pPr>
    </w:p>
    <w:p w:rsidR="00EF6EE3" w:rsidRPr="007A2C81" w:rsidRDefault="00EF6EE3" w:rsidP="00BE5623">
      <w:pPr>
        <w:rPr>
          <w:szCs w:val="24"/>
        </w:rPr>
      </w:pPr>
      <w:r w:rsidRPr="007A2C81">
        <w:rPr>
          <w:szCs w:val="24"/>
        </w:rPr>
        <w:t xml:space="preserve">This paper has been commissioned to celebrate the fortieth anniversary of Saul </w:t>
      </w:r>
      <w:proofErr w:type="spellStart"/>
      <w:r w:rsidRPr="007A2C81">
        <w:rPr>
          <w:szCs w:val="24"/>
        </w:rPr>
        <w:t>Kripke</w:t>
      </w:r>
      <w:r w:rsidR="00295CE0" w:rsidRPr="007A2C81">
        <w:rPr>
          <w:szCs w:val="24"/>
        </w:rPr>
        <w:t>’</w:t>
      </w:r>
      <w:r w:rsidRPr="007A2C81">
        <w:rPr>
          <w:szCs w:val="24"/>
        </w:rPr>
        <w:t>s</w:t>
      </w:r>
      <w:proofErr w:type="spellEnd"/>
      <w:r w:rsidRPr="007A2C81">
        <w:rPr>
          <w:szCs w:val="24"/>
        </w:rPr>
        <w:t xml:space="preserve"> now-classic book, </w:t>
      </w:r>
      <w:r w:rsidRPr="007A2C81">
        <w:rPr>
          <w:i/>
          <w:szCs w:val="24"/>
        </w:rPr>
        <w:t>Naming and Necessity</w:t>
      </w:r>
      <w:r w:rsidRPr="007A2C81">
        <w:rPr>
          <w:szCs w:val="24"/>
        </w:rPr>
        <w:t xml:space="preserve"> (1980). But it is more than fifty years since I first experienced the ideas in that book</w:t>
      </w:r>
      <w:r w:rsidR="00164A69" w:rsidRPr="007A2C81">
        <w:rPr>
          <w:szCs w:val="24"/>
        </w:rPr>
        <w:t>. It was September 1967 and</w:t>
      </w:r>
      <w:r w:rsidRPr="007A2C81">
        <w:rPr>
          <w:szCs w:val="24"/>
        </w:rPr>
        <w:t xml:space="preserve"> I had just arrived at Harvard in the PhD program</w:t>
      </w:r>
      <w:r w:rsidR="00164A69" w:rsidRPr="007A2C81">
        <w:rPr>
          <w:szCs w:val="24"/>
        </w:rPr>
        <w:t>. I</w:t>
      </w:r>
      <w:r w:rsidRPr="007A2C81">
        <w:rPr>
          <w:szCs w:val="24"/>
        </w:rPr>
        <w:t xml:space="preserve"> audited a small undergraduate class given by Kripke</w:t>
      </w:r>
      <w:r w:rsidR="00164A69" w:rsidRPr="007A2C81">
        <w:rPr>
          <w:szCs w:val="24"/>
        </w:rPr>
        <w:t xml:space="preserve"> in which these ideas were presented for the first time</w:t>
      </w:r>
      <w:r w:rsidR="00564509" w:rsidRPr="007A2C81">
        <w:rPr>
          <w:szCs w:val="24"/>
        </w:rPr>
        <w:t>.</w:t>
      </w:r>
      <w:r w:rsidRPr="007A2C81">
        <w:rPr>
          <w:rStyle w:val="FootnoteReference"/>
          <w:szCs w:val="24"/>
        </w:rPr>
        <w:footnoteReference w:id="1"/>
      </w:r>
      <w:r w:rsidRPr="007A2C81">
        <w:rPr>
          <w:szCs w:val="24"/>
        </w:rPr>
        <w:t xml:space="preserve"> A later version of </w:t>
      </w:r>
      <w:r w:rsidR="00564509" w:rsidRPr="007A2C81">
        <w:rPr>
          <w:szCs w:val="24"/>
        </w:rPr>
        <w:t>most of the ideas were delivered as lectures</w:t>
      </w:r>
      <w:r w:rsidRPr="007A2C81">
        <w:rPr>
          <w:szCs w:val="24"/>
        </w:rPr>
        <w:t xml:space="preserve"> at Princeton in 1970, published as the paper, “Naming and Necessity” (1972), and finally published as the book</w:t>
      </w:r>
      <w:r w:rsidR="00564509" w:rsidRPr="007A2C81">
        <w:rPr>
          <w:szCs w:val="24"/>
        </w:rPr>
        <w:t xml:space="preserve"> of that name.</w:t>
      </w:r>
    </w:p>
    <w:p w:rsidR="00564509" w:rsidRPr="007A2C81" w:rsidRDefault="00564509" w:rsidP="00BE5623">
      <w:pPr>
        <w:rPr>
          <w:szCs w:val="24"/>
        </w:rPr>
      </w:pPr>
    </w:p>
    <w:p w:rsidR="00240215" w:rsidRPr="007A2C81" w:rsidRDefault="00240215" w:rsidP="00BE5623">
      <w:pPr>
        <w:rPr>
          <w:szCs w:val="24"/>
        </w:rPr>
      </w:pPr>
      <w:r w:rsidRPr="007A2C81">
        <w:rPr>
          <w:szCs w:val="24"/>
        </w:rPr>
        <w:tab/>
        <w:t>These lectures</w:t>
      </w:r>
      <w:r w:rsidR="00F16548">
        <w:rPr>
          <w:szCs w:val="24"/>
        </w:rPr>
        <w:t xml:space="preserve"> – so clear, so brilliant -</w:t>
      </w:r>
      <w:r w:rsidRPr="007A2C81">
        <w:rPr>
          <w:szCs w:val="24"/>
        </w:rPr>
        <w:t xml:space="preserve"> had a profound effect on me. </w:t>
      </w:r>
      <w:r w:rsidR="00754D55" w:rsidRPr="007A2C81">
        <w:rPr>
          <w:szCs w:val="24"/>
        </w:rPr>
        <w:t xml:space="preserve">In particular, </w:t>
      </w:r>
      <w:proofErr w:type="spellStart"/>
      <w:r w:rsidRPr="007A2C81">
        <w:rPr>
          <w:szCs w:val="24"/>
        </w:rPr>
        <w:t>Kripke</w:t>
      </w:r>
      <w:r w:rsidR="00295CE0" w:rsidRPr="007A2C81">
        <w:rPr>
          <w:szCs w:val="24"/>
        </w:rPr>
        <w:t>’</w:t>
      </w:r>
      <w:r w:rsidRPr="007A2C81">
        <w:rPr>
          <w:szCs w:val="24"/>
        </w:rPr>
        <w:t>s</w:t>
      </w:r>
      <w:proofErr w:type="spellEnd"/>
      <w:r w:rsidRPr="007A2C81">
        <w:rPr>
          <w:szCs w:val="24"/>
        </w:rPr>
        <w:t xml:space="preserve"> view of proper names</w:t>
      </w:r>
      <w:r w:rsidR="00486AA2" w:rsidRPr="007A2C81">
        <w:rPr>
          <w:szCs w:val="24"/>
        </w:rPr>
        <w:t xml:space="preserve"> </w:t>
      </w:r>
      <w:r w:rsidRPr="007A2C81">
        <w:rPr>
          <w:szCs w:val="24"/>
        </w:rPr>
        <w:t>w</w:t>
      </w:r>
      <w:r w:rsidR="00486AA2" w:rsidRPr="007A2C81">
        <w:rPr>
          <w:szCs w:val="24"/>
        </w:rPr>
        <w:t>as</w:t>
      </w:r>
      <w:r w:rsidRPr="007A2C81">
        <w:rPr>
          <w:szCs w:val="24"/>
        </w:rPr>
        <w:t xml:space="preserve"> the main inspiration for my dissertation, “The Semantics of Proper Names: A Causal Theory” (1972).</w:t>
      </w:r>
      <w:r w:rsidR="00B246D6" w:rsidRPr="007A2C81">
        <w:rPr>
          <w:rStyle w:val="FootnoteReference"/>
          <w:szCs w:val="24"/>
        </w:rPr>
        <w:footnoteReference w:id="2"/>
      </w:r>
      <w:r w:rsidR="00646DA2" w:rsidRPr="007A2C81">
        <w:rPr>
          <w:szCs w:val="24"/>
        </w:rPr>
        <w:t xml:space="preserve"> In that work, and later ones</w:t>
      </w:r>
      <w:r w:rsidRPr="007A2C81">
        <w:rPr>
          <w:szCs w:val="24"/>
        </w:rPr>
        <w:t xml:space="preserve"> (197</w:t>
      </w:r>
      <w:r w:rsidR="00486AA2" w:rsidRPr="007A2C81">
        <w:rPr>
          <w:szCs w:val="24"/>
        </w:rPr>
        <w:t>4, 1981a,</w:t>
      </w:r>
      <w:r w:rsidR="00087EDF" w:rsidRPr="007A2C81">
        <w:rPr>
          <w:szCs w:val="24"/>
        </w:rPr>
        <w:t>b,</w:t>
      </w:r>
      <w:r w:rsidRPr="007A2C81">
        <w:rPr>
          <w:szCs w:val="24"/>
        </w:rPr>
        <w:t xml:space="preserve"> 2015), I </w:t>
      </w:r>
      <w:r w:rsidR="00087EDF" w:rsidRPr="007A2C81">
        <w:rPr>
          <w:szCs w:val="24"/>
        </w:rPr>
        <w:t xml:space="preserve">tried to </w:t>
      </w:r>
      <w:r w:rsidR="003431DC" w:rsidRPr="007A2C81">
        <w:rPr>
          <w:szCs w:val="24"/>
        </w:rPr>
        <w:t>develop</w:t>
      </w:r>
      <w:r w:rsidR="00087EDF" w:rsidRPr="007A2C81">
        <w:rPr>
          <w:szCs w:val="24"/>
        </w:rPr>
        <w:t xml:space="preserve"> a “naturalistic” </w:t>
      </w:r>
      <w:r w:rsidR="003431DC" w:rsidRPr="007A2C81">
        <w:rPr>
          <w:szCs w:val="24"/>
        </w:rPr>
        <w:t>causal-historical theory</w:t>
      </w:r>
      <w:r w:rsidR="00087EDF" w:rsidRPr="007A2C81">
        <w:rPr>
          <w:szCs w:val="24"/>
        </w:rPr>
        <w:t xml:space="preserve"> of singular reference</w:t>
      </w:r>
      <w:r w:rsidR="00B246D6" w:rsidRPr="007A2C81">
        <w:rPr>
          <w:szCs w:val="24"/>
        </w:rPr>
        <w:t>. Now</w:t>
      </w:r>
      <w:r w:rsidR="001A75D5" w:rsidRPr="007A2C81">
        <w:rPr>
          <w:szCs w:val="24"/>
        </w:rPr>
        <w:t>, of course,</w:t>
      </w:r>
      <w:r w:rsidR="00B246D6" w:rsidRPr="007A2C81">
        <w:rPr>
          <w:szCs w:val="24"/>
        </w:rPr>
        <w:t xml:space="preserve"> Kripke is no</w:t>
      </w:r>
      <w:r w:rsidRPr="007A2C81">
        <w:rPr>
          <w:szCs w:val="24"/>
        </w:rPr>
        <w:t xml:space="preserve"> naturalist</w:t>
      </w:r>
      <w:r w:rsidR="00B246D6" w:rsidRPr="007A2C81">
        <w:rPr>
          <w:szCs w:val="24"/>
        </w:rPr>
        <w:t>: h</w:t>
      </w:r>
      <w:r w:rsidRPr="007A2C81">
        <w:rPr>
          <w:szCs w:val="24"/>
        </w:rPr>
        <w:t>e is a great “armchair” philosopher, famous</w:t>
      </w:r>
      <w:r w:rsidR="002460F3" w:rsidRPr="007A2C81">
        <w:rPr>
          <w:szCs w:val="24"/>
        </w:rPr>
        <w:t xml:space="preserve"> for relying on his intuitions</w:t>
      </w:r>
      <w:r w:rsidRPr="007A2C81">
        <w:rPr>
          <w:szCs w:val="24"/>
        </w:rPr>
        <w:t>.</w:t>
      </w:r>
      <w:r w:rsidR="00486AA2" w:rsidRPr="007A2C81">
        <w:rPr>
          <w:szCs w:val="24"/>
        </w:rPr>
        <w:t xml:space="preserve"> </w:t>
      </w:r>
      <w:r w:rsidR="00486AA2" w:rsidRPr="007A2C81">
        <w:rPr>
          <w:szCs w:val="24"/>
        </w:rPr>
        <w:lastRenderedPageBreak/>
        <w:t>Yet,</w:t>
      </w:r>
      <w:r w:rsidRPr="007A2C81">
        <w:rPr>
          <w:szCs w:val="24"/>
        </w:rPr>
        <w:t xml:space="preserve"> from my naturalistic per</w:t>
      </w:r>
      <w:r w:rsidR="00486AA2" w:rsidRPr="007A2C81">
        <w:rPr>
          <w:szCs w:val="24"/>
        </w:rPr>
        <w:t>spective, he got so much right! That is a</w:t>
      </w:r>
      <w:r w:rsidR="00812DBE" w:rsidRPr="007A2C81">
        <w:rPr>
          <w:szCs w:val="24"/>
        </w:rPr>
        <w:t>n implicit</w:t>
      </w:r>
      <w:r w:rsidR="00486AA2" w:rsidRPr="007A2C81">
        <w:rPr>
          <w:szCs w:val="24"/>
        </w:rPr>
        <w:t xml:space="preserve"> theme of this paper. I have often thought that Kripke has</w:t>
      </w:r>
      <w:r w:rsidRPr="007A2C81">
        <w:rPr>
          <w:szCs w:val="24"/>
        </w:rPr>
        <w:t xml:space="preserve"> “privileged access to reality”.</w:t>
      </w:r>
    </w:p>
    <w:p w:rsidR="00486AA2" w:rsidRPr="007A2C81" w:rsidRDefault="00486AA2" w:rsidP="00BE5623">
      <w:pPr>
        <w:rPr>
          <w:szCs w:val="24"/>
        </w:rPr>
      </w:pPr>
    </w:p>
    <w:p w:rsidR="00564509" w:rsidRPr="007A2C81" w:rsidRDefault="00564509" w:rsidP="00BE5623">
      <w:pPr>
        <w:ind w:firstLine="720"/>
        <w:rPr>
          <w:szCs w:val="24"/>
        </w:rPr>
      </w:pPr>
      <w:r w:rsidRPr="007A2C81">
        <w:rPr>
          <w:szCs w:val="24"/>
        </w:rPr>
        <w:t xml:space="preserve">In this paper, I </w:t>
      </w:r>
      <w:r w:rsidR="00087EDF" w:rsidRPr="007A2C81">
        <w:rPr>
          <w:szCs w:val="24"/>
        </w:rPr>
        <w:t>shall</w:t>
      </w:r>
      <w:r w:rsidR="00754D55" w:rsidRPr="007A2C81">
        <w:rPr>
          <w:szCs w:val="24"/>
        </w:rPr>
        <w:t xml:space="preserve"> gather together </w:t>
      </w:r>
      <w:r w:rsidRPr="007A2C81">
        <w:rPr>
          <w:szCs w:val="24"/>
        </w:rPr>
        <w:t xml:space="preserve">some reflections on </w:t>
      </w:r>
      <w:r w:rsidR="00486AA2" w:rsidRPr="007A2C81">
        <w:rPr>
          <w:i/>
          <w:szCs w:val="24"/>
        </w:rPr>
        <w:t>Naming and Necessity</w:t>
      </w:r>
      <w:r w:rsidR="00754D55" w:rsidRPr="007A2C81">
        <w:rPr>
          <w:szCs w:val="24"/>
        </w:rPr>
        <w:t xml:space="preserve"> tha</w:t>
      </w:r>
      <w:r w:rsidR="00087EDF" w:rsidRPr="007A2C81">
        <w:rPr>
          <w:szCs w:val="24"/>
        </w:rPr>
        <w:t xml:space="preserve">t </w:t>
      </w:r>
      <w:r w:rsidR="00047692" w:rsidRPr="007A2C81">
        <w:rPr>
          <w:szCs w:val="24"/>
        </w:rPr>
        <w:t>have</w:t>
      </w:r>
      <w:r w:rsidR="002D7E29" w:rsidRPr="007A2C81">
        <w:rPr>
          <w:szCs w:val="24"/>
        </w:rPr>
        <w:t xml:space="preserve"> mostly</w:t>
      </w:r>
      <w:r w:rsidR="00047692" w:rsidRPr="007A2C81">
        <w:rPr>
          <w:szCs w:val="24"/>
        </w:rPr>
        <w:t xml:space="preserve"> been</w:t>
      </w:r>
      <w:r w:rsidR="00087EDF" w:rsidRPr="007A2C81">
        <w:rPr>
          <w:szCs w:val="24"/>
        </w:rPr>
        <w:t xml:space="preserve"> scattered through my work. I shall focus</w:t>
      </w:r>
      <w:r w:rsidR="00754D55" w:rsidRPr="007A2C81">
        <w:rPr>
          <w:szCs w:val="24"/>
        </w:rPr>
        <w:t xml:space="preserve"> on aspects of the book that I think have been misunderstood, overlooked,</w:t>
      </w:r>
      <w:r w:rsidR="00047692" w:rsidRPr="007A2C81">
        <w:rPr>
          <w:szCs w:val="24"/>
        </w:rPr>
        <w:t xml:space="preserve"> mistakenly rejected,</w:t>
      </w:r>
      <w:r w:rsidR="00754D55" w:rsidRPr="007A2C81">
        <w:rPr>
          <w:szCs w:val="24"/>
        </w:rPr>
        <w:t xml:space="preserve"> or simply merit</w:t>
      </w:r>
      <w:r w:rsidR="001C47D5" w:rsidRPr="007A2C81">
        <w:rPr>
          <w:szCs w:val="24"/>
        </w:rPr>
        <w:t xml:space="preserve"> more</w:t>
      </w:r>
      <w:r w:rsidR="007B1445" w:rsidRPr="007A2C81">
        <w:rPr>
          <w:szCs w:val="24"/>
        </w:rPr>
        <w:t xml:space="preserve"> emphasis</w:t>
      </w:r>
      <w:r w:rsidR="00754D55" w:rsidRPr="007A2C81">
        <w:rPr>
          <w:szCs w:val="24"/>
        </w:rPr>
        <w:t>.</w:t>
      </w:r>
      <w:r w:rsidR="00ED101D" w:rsidRPr="007A2C81">
        <w:rPr>
          <w:rStyle w:val="FootnoteReference"/>
          <w:szCs w:val="24"/>
        </w:rPr>
        <w:footnoteReference w:id="3"/>
      </w:r>
      <w:r w:rsidR="007B1445" w:rsidRPr="007A2C81">
        <w:rPr>
          <w:szCs w:val="24"/>
        </w:rPr>
        <w:t xml:space="preserve"> In section 2, I shall discuss </w:t>
      </w:r>
      <w:proofErr w:type="spellStart"/>
      <w:r w:rsidR="00673B97" w:rsidRPr="007A2C81">
        <w:rPr>
          <w:szCs w:val="24"/>
        </w:rPr>
        <w:t>Kripke’s</w:t>
      </w:r>
      <w:proofErr w:type="spellEnd"/>
      <w:r w:rsidR="00673B97" w:rsidRPr="007A2C81">
        <w:rPr>
          <w:szCs w:val="24"/>
        </w:rPr>
        <w:t xml:space="preserve"> most powerful argument against description theories of reference</w:t>
      </w:r>
      <w:r w:rsidR="00673B97">
        <w:rPr>
          <w:szCs w:val="24"/>
        </w:rPr>
        <w:t>, the “ignorance and error” argument.</w:t>
      </w:r>
      <w:r w:rsidR="007B1445" w:rsidRPr="007A2C81">
        <w:rPr>
          <w:szCs w:val="24"/>
        </w:rPr>
        <w:t xml:space="preserve"> In section 3, I turn to </w:t>
      </w:r>
      <w:r w:rsidR="00184FCD">
        <w:rPr>
          <w:szCs w:val="24"/>
        </w:rPr>
        <w:t xml:space="preserve">the causal-historical </w:t>
      </w:r>
      <w:r w:rsidR="007B1445" w:rsidRPr="007A2C81">
        <w:rPr>
          <w:szCs w:val="24"/>
        </w:rPr>
        <w:t>alternative</w:t>
      </w:r>
      <w:r w:rsidR="002C4F5A">
        <w:rPr>
          <w:szCs w:val="24"/>
        </w:rPr>
        <w:t xml:space="preserve"> and reference borrowing</w:t>
      </w:r>
      <w:r w:rsidR="007B1445" w:rsidRPr="007A2C81">
        <w:rPr>
          <w:szCs w:val="24"/>
        </w:rPr>
        <w:t>. In section 4, I consider rigidity and description theories, in section 5, direct reference. So, these sections are primarily about the philosophy of language. The remaining ones are about essentialism: biological kind essentialism in section 6, chemical kind, in section 7, individual, in section 8.</w:t>
      </w:r>
    </w:p>
    <w:p w:rsidR="00935C07" w:rsidRPr="007A2C81" w:rsidRDefault="00935C07" w:rsidP="00BE5623">
      <w:pPr>
        <w:rPr>
          <w:szCs w:val="24"/>
        </w:rPr>
      </w:pPr>
    </w:p>
    <w:p w:rsidR="00807FB9" w:rsidRPr="007A2C81" w:rsidRDefault="00646DA2" w:rsidP="00BE5623">
      <w:pPr>
        <w:rPr>
          <w:b/>
          <w:szCs w:val="24"/>
        </w:rPr>
      </w:pPr>
      <w:r w:rsidRPr="007A2C81">
        <w:rPr>
          <w:b/>
          <w:szCs w:val="24"/>
        </w:rPr>
        <w:t xml:space="preserve">2. </w:t>
      </w:r>
      <w:r w:rsidR="00812DBE" w:rsidRPr="007A2C81">
        <w:rPr>
          <w:b/>
          <w:szCs w:val="24"/>
        </w:rPr>
        <w:t>Description T</w:t>
      </w:r>
      <w:r w:rsidR="00807FB9" w:rsidRPr="007A2C81">
        <w:rPr>
          <w:b/>
          <w:szCs w:val="24"/>
        </w:rPr>
        <w:t>heories</w:t>
      </w:r>
      <w:r w:rsidR="009542E5" w:rsidRPr="007A2C81">
        <w:rPr>
          <w:b/>
          <w:szCs w:val="24"/>
        </w:rPr>
        <w:t xml:space="preserve"> and Ignorance and Error</w:t>
      </w:r>
    </w:p>
    <w:p w:rsidR="00807FB9" w:rsidRPr="007A2C81" w:rsidRDefault="00807FB9" w:rsidP="00BE5623">
      <w:pPr>
        <w:rPr>
          <w:szCs w:val="24"/>
        </w:rPr>
      </w:pPr>
    </w:p>
    <w:p w:rsidR="00807FB9" w:rsidRPr="007A2C81" w:rsidRDefault="00807FB9" w:rsidP="00BE5623">
      <w:pPr>
        <w:rPr>
          <w:szCs w:val="24"/>
        </w:rPr>
      </w:pPr>
      <w:r w:rsidRPr="007A2C81">
        <w:rPr>
          <w:szCs w:val="24"/>
        </w:rPr>
        <w:t xml:space="preserve">It is </w:t>
      </w:r>
      <w:r w:rsidR="00640C2C" w:rsidRPr="007A2C81">
        <w:rPr>
          <w:szCs w:val="24"/>
        </w:rPr>
        <w:t>common</w:t>
      </w:r>
      <w:r w:rsidRPr="007A2C81">
        <w:rPr>
          <w:szCs w:val="24"/>
        </w:rPr>
        <w:t xml:space="preserve"> to think that a term</w:t>
      </w:r>
      <w:r w:rsidR="00295CE0" w:rsidRPr="007A2C81">
        <w:rPr>
          <w:szCs w:val="24"/>
        </w:rPr>
        <w:t>’</w:t>
      </w:r>
      <w:r w:rsidRPr="007A2C81">
        <w:rPr>
          <w:szCs w:val="24"/>
        </w:rPr>
        <w:t xml:space="preserve">s referential relation to reality is the core of its meaning. In the case of a proper name the relation in question is to a certain object. This raises the fundamental question: </w:t>
      </w:r>
      <w:r w:rsidRPr="007A2C81">
        <w:rPr>
          <w:i/>
          <w:szCs w:val="24"/>
        </w:rPr>
        <w:t>In virtue of what</w:t>
      </w:r>
      <w:r w:rsidRPr="007A2C81">
        <w:rPr>
          <w:szCs w:val="24"/>
        </w:rPr>
        <w:t xml:space="preserve"> does the name refer to that object?  A theory of reference attempts to answer this question. Until the 1970s, all popular answers were description theories of one sort or another. Thus, according to the “classical” </w:t>
      </w:r>
      <w:proofErr w:type="spellStart"/>
      <w:r w:rsidRPr="007A2C81">
        <w:rPr>
          <w:szCs w:val="24"/>
        </w:rPr>
        <w:t>Frege</w:t>
      </w:r>
      <w:proofErr w:type="spellEnd"/>
      <w:r w:rsidRPr="007A2C81">
        <w:rPr>
          <w:szCs w:val="24"/>
        </w:rPr>
        <w:t xml:space="preserve">-Russell theory, the reference of a name is determined by a description associated with it by competent speakers; for example, in the case of </w:t>
      </w:r>
      <w:r w:rsidR="00295CE0" w:rsidRPr="007A2C81">
        <w:rPr>
          <w:szCs w:val="24"/>
        </w:rPr>
        <w:t>‘</w:t>
      </w:r>
      <w:r w:rsidRPr="007A2C81">
        <w:rPr>
          <w:szCs w:val="24"/>
        </w:rPr>
        <w:t>Gödel</w:t>
      </w:r>
      <w:r w:rsidR="00295CE0" w:rsidRPr="007A2C81">
        <w:rPr>
          <w:szCs w:val="24"/>
        </w:rPr>
        <w:t>’</w:t>
      </w:r>
      <w:r w:rsidRPr="007A2C81">
        <w:rPr>
          <w:szCs w:val="24"/>
        </w:rPr>
        <w:t xml:space="preserve">, by the description, </w:t>
      </w:r>
      <w:r w:rsidR="00295CE0" w:rsidRPr="007A2C81">
        <w:rPr>
          <w:szCs w:val="24"/>
        </w:rPr>
        <w:t>‘</w:t>
      </w:r>
      <w:r w:rsidRPr="007A2C81">
        <w:rPr>
          <w:szCs w:val="24"/>
        </w:rPr>
        <w:t>the person who proved the incompleteness of arithmetic</w:t>
      </w:r>
      <w:r w:rsidR="00295CE0" w:rsidRPr="007A2C81">
        <w:rPr>
          <w:szCs w:val="24"/>
        </w:rPr>
        <w:t>’</w:t>
      </w:r>
      <w:r w:rsidRPr="007A2C81">
        <w:rPr>
          <w:szCs w:val="24"/>
        </w:rPr>
        <w:t xml:space="preserve">; in the case of </w:t>
      </w:r>
      <w:r w:rsidR="00295CE0" w:rsidRPr="007A2C81">
        <w:rPr>
          <w:szCs w:val="24"/>
        </w:rPr>
        <w:t>‘</w:t>
      </w:r>
      <w:r w:rsidRPr="007A2C81">
        <w:rPr>
          <w:szCs w:val="24"/>
        </w:rPr>
        <w:t>Jonah</w:t>
      </w:r>
      <w:r w:rsidR="00295CE0" w:rsidRPr="007A2C81">
        <w:rPr>
          <w:szCs w:val="24"/>
        </w:rPr>
        <w:t>’</w:t>
      </w:r>
      <w:r w:rsidRPr="007A2C81">
        <w:rPr>
          <w:szCs w:val="24"/>
        </w:rPr>
        <w:t>, by one capturing the high points of the biblical story of Jonah. Kripke made seemingly devastating criticisms of a variety of description theories, including the classical one. And he proposed an alternative “better picture”</w:t>
      </w:r>
      <w:r w:rsidR="00860156" w:rsidRPr="007A2C81">
        <w:rPr>
          <w:szCs w:val="24"/>
        </w:rPr>
        <w:t xml:space="preserve"> (</w:t>
      </w:r>
      <w:r w:rsidR="00FE79E2">
        <w:rPr>
          <w:szCs w:val="24"/>
        </w:rPr>
        <w:t>94)</w:t>
      </w:r>
      <w:r w:rsidR="00000BCE" w:rsidRPr="007A2C81">
        <w:rPr>
          <w:rStyle w:val="FootnoteReference"/>
          <w:szCs w:val="24"/>
        </w:rPr>
        <w:footnoteReference w:id="4"/>
      </w:r>
      <w:r w:rsidRPr="007A2C81">
        <w:rPr>
          <w:szCs w:val="24"/>
        </w:rPr>
        <w:t xml:space="preserve"> according to which the reference of a name is determined by a </w:t>
      </w:r>
      <w:r w:rsidR="00164A69" w:rsidRPr="007A2C81">
        <w:rPr>
          <w:szCs w:val="24"/>
        </w:rPr>
        <w:t>series of “reference borrowings”</w:t>
      </w:r>
      <w:r w:rsidRPr="007A2C81">
        <w:rPr>
          <w:szCs w:val="24"/>
        </w:rPr>
        <w:t xml:space="preserve"> stretching back to the name</w:t>
      </w:r>
      <w:r w:rsidR="00295CE0" w:rsidRPr="007A2C81">
        <w:rPr>
          <w:szCs w:val="24"/>
        </w:rPr>
        <w:t>’</w:t>
      </w:r>
      <w:r w:rsidR="00E56825" w:rsidRPr="007A2C81">
        <w:rPr>
          <w:szCs w:val="24"/>
        </w:rPr>
        <w:t>s introduction; reference determination is a</w:t>
      </w:r>
      <w:r w:rsidRPr="007A2C81">
        <w:rPr>
          <w:szCs w:val="24"/>
        </w:rPr>
        <w:t xml:space="preserve"> “causal-historical”</w:t>
      </w:r>
      <w:r w:rsidR="00E56825" w:rsidRPr="007A2C81">
        <w:rPr>
          <w:szCs w:val="24"/>
        </w:rPr>
        <w:t xml:space="preserve"> matter</w:t>
      </w:r>
      <w:r w:rsidRPr="007A2C81">
        <w:rPr>
          <w:szCs w:val="24"/>
        </w:rPr>
        <w:t>. Thus began the revolution in the theory of reference</w:t>
      </w:r>
      <w:r w:rsidR="00047692" w:rsidRPr="007A2C81">
        <w:rPr>
          <w:szCs w:val="24"/>
        </w:rPr>
        <w:t>.</w:t>
      </w:r>
    </w:p>
    <w:p w:rsidR="00020787" w:rsidRPr="007A2C81" w:rsidRDefault="00020787" w:rsidP="00BE5623">
      <w:pPr>
        <w:ind w:firstLine="720"/>
        <w:rPr>
          <w:spacing w:val="-3"/>
          <w:szCs w:val="24"/>
        </w:rPr>
      </w:pPr>
    </w:p>
    <w:p w:rsidR="000775F5" w:rsidRPr="007A2C81" w:rsidRDefault="000775F5" w:rsidP="00F20E6D">
      <w:pPr>
        <w:ind w:firstLine="720"/>
        <w:rPr>
          <w:spacing w:val="-3"/>
          <w:szCs w:val="24"/>
        </w:rPr>
      </w:pPr>
      <w:proofErr w:type="spellStart"/>
      <w:r w:rsidRPr="007A2C81">
        <w:rPr>
          <w:spacing w:val="-3"/>
          <w:szCs w:val="24"/>
        </w:rPr>
        <w:t>Krip</w:t>
      </w:r>
      <w:r w:rsidR="00047692" w:rsidRPr="007A2C81">
        <w:rPr>
          <w:spacing w:val="-3"/>
          <w:szCs w:val="24"/>
        </w:rPr>
        <w:t>ke</w:t>
      </w:r>
      <w:r w:rsidR="00295CE0" w:rsidRPr="007A2C81">
        <w:rPr>
          <w:spacing w:val="-3"/>
          <w:szCs w:val="24"/>
        </w:rPr>
        <w:t>’</w:t>
      </w:r>
      <w:r w:rsidR="00047692" w:rsidRPr="007A2C81">
        <w:rPr>
          <w:spacing w:val="-3"/>
          <w:szCs w:val="24"/>
        </w:rPr>
        <w:t>s</w:t>
      </w:r>
      <w:proofErr w:type="spellEnd"/>
      <w:r w:rsidR="00047692" w:rsidRPr="007A2C81">
        <w:rPr>
          <w:spacing w:val="-3"/>
          <w:szCs w:val="24"/>
        </w:rPr>
        <w:t xml:space="preserve"> refutation of description</w:t>
      </w:r>
      <w:r w:rsidRPr="007A2C81">
        <w:rPr>
          <w:spacing w:val="-3"/>
          <w:szCs w:val="24"/>
        </w:rPr>
        <w:t xml:space="preserve"> theories of names consists in three arguments</w:t>
      </w:r>
      <w:r w:rsidR="00164A69" w:rsidRPr="007A2C81">
        <w:rPr>
          <w:spacing w:val="-3"/>
          <w:szCs w:val="24"/>
        </w:rPr>
        <w:t xml:space="preserve"> which </w:t>
      </w:r>
      <w:r w:rsidR="00F20E6D" w:rsidRPr="007A2C81">
        <w:rPr>
          <w:spacing w:val="-3"/>
          <w:szCs w:val="24"/>
        </w:rPr>
        <w:t>Kim Sterelny and I</w:t>
      </w:r>
      <w:r w:rsidR="00A156EA">
        <w:rPr>
          <w:spacing w:val="-3"/>
          <w:szCs w:val="24"/>
        </w:rPr>
        <w:t>, in our textbook,</w:t>
      </w:r>
      <w:r w:rsidR="00164A69" w:rsidRPr="007A2C81">
        <w:rPr>
          <w:spacing w:val="-3"/>
          <w:szCs w:val="24"/>
        </w:rPr>
        <w:t xml:space="preserve"> called</w:t>
      </w:r>
      <w:r w:rsidRPr="007A2C81">
        <w:rPr>
          <w:spacing w:val="-3"/>
          <w:szCs w:val="24"/>
        </w:rPr>
        <w:t xml:space="preserve"> “Unwanted Necessity,” “Lost Rigidity,” and “Ignorance and Error”</w:t>
      </w:r>
      <w:r w:rsidR="00020787" w:rsidRPr="007A2C81">
        <w:rPr>
          <w:spacing w:val="-3"/>
          <w:szCs w:val="24"/>
        </w:rPr>
        <w:t xml:space="preserve"> (</w:t>
      </w:r>
      <w:r w:rsidR="00020787" w:rsidRPr="007A2C81">
        <w:rPr>
          <w:szCs w:val="24"/>
        </w:rPr>
        <w:t xml:space="preserve">1999: 48-59). </w:t>
      </w:r>
      <w:proofErr w:type="spellStart"/>
      <w:r w:rsidR="00020787" w:rsidRPr="007A2C81">
        <w:rPr>
          <w:szCs w:val="24"/>
        </w:rPr>
        <w:t>Kripke</w:t>
      </w:r>
      <w:r w:rsidR="00295CE0" w:rsidRPr="007A2C81">
        <w:rPr>
          <w:szCs w:val="24"/>
        </w:rPr>
        <w:t>’</w:t>
      </w:r>
      <w:r w:rsidR="00020787" w:rsidRPr="007A2C81">
        <w:rPr>
          <w:szCs w:val="24"/>
        </w:rPr>
        <w:t>s</w:t>
      </w:r>
      <w:proofErr w:type="spellEnd"/>
      <w:r w:rsidR="00020787" w:rsidRPr="007A2C81">
        <w:rPr>
          <w:spacing w:val="-3"/>
          <w:szCs w:val="24"/>
        </w:rPr>
        <w:t xml:space="preserve"> Ignorance and Error argument, and a similar argument by </w:t>
      </w:r>
      <w:r w:rsidR="00020787" w:rsidRPr="007A2C81">
        <w:rPr>
          <w:szCs w:val="24"/>
        </w:rPr>
        <w:t xml:space="preserve">Keith Donnellan (1972), were totally novel. </w:t>
      </w:r>
      <w:proofErr w:type="spellStart"/>
      <w:r w:rsidR="00020787" w:rsidRPr="007A2C81">
        <w:rPr>
          <w:szCs w:val="24"/>
        </w:rPr>
        <w:t>Kripke</w:t>
      </w:r>
      <w:r w:rsidR="00295CE0" w:rsidRPr="007A2C81">
        <w:rPr>
          <w:szCs w:val="24"/>
        </w:rPr>
        <w:t>’</w:t>
      </w:r>
      <w:r w:rsidR="00020787" w:rsidRPr="007A2C81">
        <w:rPr>
          <w:szCs w:val="24"/>
        </w:rPr>
        <w:t>s</w:t>
      </w:r>
      <w:proofErr w:type="spellEnd"/>
      <w:r w:rsidR="00020787" w:rsidRPr="007A2C81">
        <w:rPr>
          <w:spacing w:val="-3"/>
          <w:szCs w:val="24"/>
        </w:rPr>
        <w:t xml:space="preserve"> Lost Rigidity argument was near enough so.</w:t>
      </w:r>
      <w:r w:rsidR="00F20E6D" w:rsidRPr="007A2C81">
        <w:rPr>
          <w:rStyle w:val="FootnoteReference"/>
          <w:spacing w:val="-3"/>
          <w:szCs w:val="24"/>
        </w:rPr>
        <w:footnoteReference w:id="5"/>
      </w:r>
      <w:r w:rsidR="00F20E6D" w:rsidRPr="007A2C81">
        <w:rPr>
          <w:spacing w:val="-3"/>
          <w:szCs w:val="24"/>
        </w:rPr>
        <w:t xml:space="preserve"> </w:t>
      </w:r>
      <w:r w:rsidR="003A46BB" w:rsidRPr="007A2C81">
        <w:rPr>
          <w:szCs w:val="24"/>
        </w:rPr>
        <w:t xml:space="preserve">Immediate responses to </w:t>
      </w:r>
      <w:proofErr w:type="spellStart"/>
      <w:r w:rsidR="003A46BB" w:rsidRPr="007A2C81">
        <w:rPr>
          <w:szCs w:val="24"/>
        </w:rPr>
        <w:t>Kripke</w:t>
      </w:r>
      <w:r w:rsidR="00295CE0" w:rsidRPr="007A2C81">
        <w:rPr>
          <w:szCs w:val="24"/>
        </w:rPr>
        <w:t>’</w:t>
      </w:r>
      <w:r w:rsidR="003A46BB" w:rsidRPr="007A2C81">
        <w:rPr>
          <w:szCs w:val="24"/>
        </w:rPr>
        <w:t>s</w:t>
      </w:r>
      <w:proofErr w:type="spellEnd"/>
      <w:r w:rsidR="003A46BB" w:rsidRPr="007A2C81">
        <w:rPr>
          <w:szCs w:val="24"/>
        </w:rPr>
        <w:t xml:space="preserve"> refutation focused on Lost Rigidity but it always seemed to me that Ignorance and Error was the really powerful argument. Indeed, it</w:t>
      </w:r>
      <w:r w:rsidR="00FA0A1B" w:rsidRPr="007A2C81">
        <w:rPr>
          <w:szCs w:val="24"/>
        </w:rPr>
        <w:t xml:space="preserve"> is as</w:t>
      </w:r>
      <w:r w:rsidR="003A46BB" w:rsidRPr="007A2C81">
        <w:rPr>
          <w:szCs w:val="24"/>
        </w:rPr>
        <w:t xml:space="preserve"> close to a “knock </w:t>
      </w:r>
      <w:r w:rsidR="003A46BB" w:rsidRPr="007A2C81">
        <w:rPr>
          <w:szCs w:val="24"/>
        </w:rPr>
        <w:lastRenderedPageBreak/>
        <w:t>down</w:t>
      </w:r>
      <w:r w:rsidR="00D73D0F" w:rsidRPr="007A2C81">
        <w:rPr>
          <w:szCs w:val="24"/>
        </w:rPr>
        <w:t>” argument</w:t>
      </w:r>
      <w:r w:rsidR="003A46BB" w:rsidRPr="007A2C81">
        <w:rPr>
          <w:szCs w:val="24"/>
        </w:rPr>
        <w:t xml:space="preserve"> as can </w:t>
      </w:r>
      <w:r w:rsidR="00F20E6D" w:rsidRPr="007A2C81">
        <w:rPr>
          <w:szCs w:val="24"/>
        </w:rPr>
        <w:t>be found</w:t>
      </w:r>
      <w:r w:rsidR="003A46BB" w:rsidRPr="007A2C81">
        <w:rPr>
          <w:szCs w:val="24"/>
        </w:rPr>
        <w:t xml:space="preserve"> in philosophy</w:t>
      </w:r>
      <w:r w:rsidR="00164A69" w:rsidRPr="007A2C81">
        <w:rPr>
          <w:szCs w:val="24"/>
        </w:rPr>
        <w:t xml:space="preserve">, </w:t>
      </w:r>
      <w:r w:rsidR="00D73D0F" w:rsidRPr="007A2C81">
        <w:rPr>
          <w:szCs w:val="24"/>
        </w:rPr>
        <w:t xml:space="preserve">and </w:t>
      </w:r>
      <w:r w:rsidR="00164A69" w:rsidRPr="007A2C81">
        <w:rPr>
          <w:szCs w:val="24"/>
        </w:rPr>
        <w:t xml:space="preserve">one of </w:t>
      </w:r>
      <w:proofErr w:type="spellStart"/>
      <w:r w:rsidR="008D2D18" w:rsidRPr="007A2C81">
        <w:rPr>
          <w:szCs w:val="24"/>
        </w:rPr>
        <w:t>Kripke</w:t>
      </w:r>
      <w:r w:rsidR="00295CE0" w:rsidRPr="007A2C81">
        <w:rPr>
          <w:szCs w:val="24"/>
        </w:rPr>
        <w:t>’</w:t>
      </w:r>
      <w:r w:rsidR="008D2D18" w:rsidRPr="007A2C81">
        <w:rPr>
          <w:szCs w:val="24"/>
        </w:rPr>
        <w:t>s</w:t>
      </w:r>
      <w:proofErr w:type="spellEnd"/>
      <w:r w:rsidR="00164A69" w:rsidRPr="007A2C81">
        <w:rPr>
          <w:szCs w:val="24"/>
        </w:rPr>
        <w:t xml:space="preserve"> two </w:t>
      </w:r>
      <w:r w:rsidR="00FA0A1B" w:rsidRPr="007A2C81">
        <w:rPr>
          <w:szCs w:val="24"/>
        </w:rPr>
        <w:t>enormous</w:t>
      </w:r>
      <w:r w:rsidR="00164A69" w:rsidRPr="007A2C81">
        <w:rPr>
          <w:szCs w:val="24"/>
        </w:rPr>
        <w:t xml:space="preserve"> contributions to the theory of language</w:t>
      </w:r>
      <w:r w:rsidR="003A46BB" w:rsidRPr="007A2C81">
        <w:rPr>
          <w:szCs w:val="24"/>
        </w:rPr>
        <w:t>. I shall start with it</w:t>
      </w:r>
      <w:r w:rsidR="00164A69" w:rsidRPr="007A2C81">
        <w:rPr>
          <w:szCs w:val="24"/>
        </w:rPr>
        <w:t>.</w:t>
      </w:r>
      <w:r w:rsidR="00DB32FE" w:rsidRPr="007A2C81">
        <w:rPr>
          <w:szCs w:val="24"/>
        </w:rPr>
        <w:t xml:space="preserve"> I shall have some comments on Lost Rigidity in section</w:t>
      </w:r>
      <w:r w:rsidR="00C93459" w:rsidRPr="007A2C81">
        <w:rPr>
          <w:szCs w:val="24"/>
        </w:rPr>
        <w:t xml:space="preserve"> </w:t>
      </w:r>
      <w:r w:rsidR="001A75D5" w:rsidRPr="007A2C81">
        <w:rPr>
          <w:szCs w:val="24"/>
        </w:rPr>
        <w:t>4</w:t>
      </w:r>
      <w:r w:rsidR="00C93459" w:rsidRPr="007A2C81">
        <w:rPr>
          <w:szCs w:val="24"/>
        </w:rPr>
        <w:t>. I will mention Unwanted Necessity only in passing.</w:t>
      </w:r>
    </w:p>
    <w:p w:rsidR="006460FD" w:rsidRPr="007A2C81" w:rsidRDefault="006460FD" w:rsidP="00BE5623">
      <w:pPr>
        <w:rPr>
          <w:spacing w:val="-3"/>
          <w:szCs w:val="24"/>
        </w:rPr>
      </w:pPr>
    </w:p>
    <w:p w:rsidR="000775F5" w:rsidRPr="007A2C81" w:rsidRDefault="00D73D0F" w:rsidP="008C3C3B">
      <w:pPr>
        <w:ind w:firstLine="720"/>
        <w:rPr>
          <w:spacing w:val="-3"/>
          <w:szCs w:val="24"/>
        </w:rPr>
      </w:pPr>
      <w:r w:rsidRPr="007A2C81">
        <w:rPr>
          <w:spacing w:val="-3"/>
          <w:szCs w:val="24"/>
        </w:rPr>
        <w:t>Description</w:t>
      </w:r>
      <w:r w:rsidR="000775F5" w:rsidRPr="007A2C81">
        <w:rPr>
          <w:spacing w:val="-3"/>
          <w:szCs w:val="24"/>
        </w:rPr>
        <w:t xml:space="preserve"> theories are naturally construed strongly as theories of meaning: the </w:t>
      </w:r>
      <w:r w:rsidR="000775F5" w:rsidRPr="007A2C81">
        <w:rPr>
          <w:i/>
          <w:spacing w:val="-3"/>
          <w:szCs w:val="24"/>
        </w:rPr>
        <w:t>meaning</w:t>
      </w:r>
      <w:r w:rsidR="000775F5" w:rsidRPr="007A2C81">
        <w:rPr>
          <w:spacing w:val="-3"/>
          <w:szCs w:val="24"/>
        </w:rPr>
        <w:t xml:space="preserve"> of a proper name is expressed by the description that competent speakers associate with the name, a description that </w:t>
      </w:r>
      <w:r w:rsidR="000775F5" w:rsidRPr="007A2C81">
        <w:rPr>
          <w:i/>
          <w:spacing w:val="-3"/>
          <w:szCs w:val="24"/>
        </w:rPr>
        <w:t>identifies</w:t>
      </w:r>
      <w:r w:rsidR="000775F5" w:rsidRPr="007A2C81">
        <w:rPr>
          <w:spacing w:val="-3"/>
          <w:szCs w:val="24"/>
        </w:rPr>
        <w:t xml:space="preserve"> the referent. A weaker construal makes no claim about meaning: the associated description simply identifies the referent. Kripke showed, with a range of </w:t>
      </w:r>
      <w:r w:rsidR="000775F5" w:rsidRPr="007A2C81">
        <w:rPr>
          <w:i/>
          <w:spacing w:val="-3"/>
          <w:szCs w:val="24"/>
        </w:rPr>
        <w:t>actual</w:t>
      </w:r>
      <w:r w:rsidR="000775F5" w:rsidRPr="007A2C81">
        <w:rPr>
          <w:spacing w:val="-3"/>
          <w:szCs w:val="24"/>
        </w:rPr>
        <w:t xml:space="preserve"> cases, that most users of a lot of names are not able to supply descriptions that are adequate to identify what are intuitively the referents. So associated descriptions do not determine the referent of a name. So they do not express a meaning that determines the referent. Thus, most users of the names of Cicero, </w:t>
      </w:r>
      <w:proofErr w:type="spellStart"/>
      <w:r w:rsidR="000775F5" w:rsidRPr="007A2C81">
        <w:rPr>
          <w:spacing w:val="-3"/>
          <w:szCs w:val="24"/>
        </w:rPr>
        <w:t>Catiline</w:t>
      </w:r>
      <w:proofErr w:type="spellEnd"/>
      <w:r w:rsidR="000775F5" w:rsidRPr="007A2C81">
        <w:rPr>
          <w:spacing w:val="-3"/>
          <w:szCs w:val="24"/>
        </w:rPr>
        <w:t>, Feynman, and Einstein are too ignorant to give identifying desc</w:t>
      </w:r>
      <w:r w:rsidR="00860156" w:rsidRPr="007A2C81">
        <w:rPr>
          <w:spacing w:val="-3"/>
          <w:szCs w:val="24"/>
        </w:rPr>
        <w:t>riptions of these people (</w:t>
      </w:r>
      <w:r w:rsidR="000775F5" w:rsidRPr="007A2C81">
        <w:rPr>
          <w:spacing w:val="-3"/>
          <w:szCs w:val="24"/>
        </w:rPr>
        <w:t xml:space="preserve">80-3). Furthermore, many users of the names of </w:t>
      </w:r>
      <w:proofErr w:type="spellStart"/>
      <w:r w:rsidR="000775F5" w:rsidRPr="007A2C81">
        <w:rPr>
          <w:spacing w:val="-3"/>
          <w:szCs w:val="24"/>
        </w:rPr>
        <w:t>Peano</w:t>
      </w:r>
      <w:proofErr w:type="spellEnd"/>
      <w:r w:rsidR="000775F5" w:rsidRPr="007A2C81">
        <w:rPr>
          <w:spacing w:val="-3"/>
          <w:szCs w:val="24"/>
        </w:rPr>
        <w:t>, Einstein, and Columbus associate descriptions that</w:t>
      </w:r>
      <w:r w:rsidR="00860156" w:rsidRPr="007A2C81">
        <w:rPr>
          <w:spacing w:val="-3"/>
          <w:szCs w:val="24"/>
        </w:rPr>
        <w:t xml:space="preserve"> are false of those people (</w:t>
      </w:r>
      <w:r w:rsidR="000775F5" w:rsidRPr="007A2C81">
        <w:rPr>
          <w:spacing w:val="-3"/>
          <w:szCs w:val="24"/>
        </w:rPr>
        <w:t xml:space="preserve">84-5). Yet </w:t>
      </w:r>
      <w:proofErr w:type="spellStart"/>
      <w:r w:rsidR="000775F5" w:rsidRPr="007A2C81">
        <w:rPr>
          <w:spacing w:val="-3"/>
          <w:szCs w:val="24"/>
        </w:rPr>
        <w:t>Kripke</w:t>
      </w:r>
      <w:r w:rsidR="00295CE0" w:rsidRPr="007A2C81">
        <w:rPr>
          <w:spacing w:val="-3"/>
          <w:szCs w:val="24"/>
        </w:rPr>
        <w:t>’</w:t>
      </w:r>
      <w:r w:rsidR="000775F5" w:rsidRPr="007A2C81">
        <w:rPr>
          <w:spacing w:val="-3"/>
          <w:szCs w:val="24"/>
        </w:rPr>
        <w:t>s</w:t>
      </w:r>
      <w:proofErr w:type="spellEnd"/>
      <w:r w:rsidR="000775F5" w:rsidRPr="007A2C81">
        <w:rPr>
          <w:spacing w:val="-3"/>
          <w:szCs w:val="24"/>
        </w:rPr>
        <w:t xml:space="preserve"> intuitions are that these users nonetheless succeed in designating these people with their names.</w:t>
      </w:r>
    </w:p>
    <w:p w:rsidR="000775F5" w:rsidRPr="007A2C81" w:rsidRDefault="000775F5" w:rsidP="00BE5623">
      <w:pPr>
        <w:rPr>
          <w:spacing w:val="-3"/>
          <w:szCs w:val="24"/>
        </w:rPr>
      </w:pPr>
    </w:p>
    <w:p w:rsidR="000775F5" w:rsidRPr="007A2C81" w:rsidRDefault="000775F5" w:rsidP="00BE5623">
      <w:pPr>
        <w:ind w:firstLine="720"/>
        <w:rPr>
          <w:spacing w:val="-3"/>
          <w:szCs w:val="24"/>
        </w:rPr>
      </w:pPr>
      <w:r w:rsidRPr="007A2C81">
        <w:rPr>
          <w:spacing w:val="-3"/>
          <w:szCs w:val="24"/>
        </w:rPr>
        <w:t xml:space="preserve">It is important to note that these cases are </w:t>
      </w:r>
      <w:r w:rsidRPr="007A2C81">
        <w:rPr>
          <w:i/>
          <w:spacing w:val="-3"/>
          <w:szCs w:val="24"/>
        </w:rPr>
        <w:t>humdrum</w:t>
      </w:r>
      <w:r w:rsidRPr="007A2C81">
        <w:rPr>
          <w:spacing w:val="-3"/>
          <w:szCs w:val="24"/>
        </w:rPr>
        <w:t>: they are not counterfactual, hypothetical, fictional, or in the least bit fanciful</w:t>
      </w:r>
      <w:r w:rsidR="00305F89" w:rsidRPr="007A2C81">
        <w:rPr>
          <w:spacing w:val="-3"/>
          <w:szCs w:val="24"/>
        </w:rPr>
        <w:t xml:space="preserve"> (</w:t>
      </w:r>
      <w:r w:rsidR="008D2D18" w:rsidRPr="007A2C81">
        <w:rPr>
          <w:spacing w:val="-3"/>
          <w:szCs w:val="24"/>
        </w:rPr>
        <w:t>as</w:t>
      </w:r>
      <w:r w:rsidR="00305F89" w:rsidRPr="007A2C81">
        <w:rPr>
          <w:spacing w:val="-3"/>
          <w:szCs w:val="24"/>
        </w:rPr>
        <w:t xml:space="preserve"> </w:t>
      </w:r>
      <w:r w:rsidR="001702D2">
        <w:rPr>
          <w:spacing w:val="-3"/>
          <w:szCs w:val="24"/>
        </w:rPr>
        <w:t xml:space="preserve">is, for example, </w:t>
      </w:r>
      <w:proofErr w:type="spellStart"/>
      <w:r w:rsidR="001702D2">
        <w:rPr>
          <w:spacing w:val="-3"/>
          <w:szCs w:val="24"/>
        </w:rPr>
        <w:t>Kripke’s</w:t>
      </w:r>
      <w:proofErr w:type="spellEnd"/>
      <w:r w:rsidR="001702D2">
        <w:rPr>
          <w:spacing w:val="-3"/>
          <w:szCs w:val="24"/>
        </w:rPr>
        <w:t xml:space="preserve"> </w:t>
      </w:r>
      <w:r w:rsidR="001702D2" w:rsidRPr="00670CFF">
        <w:rPr>
          <w:spacing w:val="-3"/>
          <w:szCs w:val="24"/>
        </w:rPr>
        <w:t>Gödel</w:t>
      </w:r>
      <w:r w:rsidR="001702D2" w:rsidRPr="007A2C81">
        <w:rPr>
          <w:spacing w:val="-3"/>
          <w:szCs w:val="24"/>
        </w:rPr>
        <w:t xml:space="preserve"> </w:t>
      </w:r>
      <w:r w:rsidR="001702D2">
        <w:rPr>
          <w:spacing w:val="-3"/>
          <w:szCs w:val="24"/>
        </w:rPr>
        <w:t>case (83-84)</w:t>
      </w:r>
      <w:r w:rsidR="00E63156">
        <w:rPr>
          <w:rStyle w:val="FootnoteReference"/>
          <w:spacing w:val="-3"/>
          <w:szCs w:val="24"/>
        </w:rPr>
        <w:footnoteReference w:id="6"/>
      </w:r>
      <w:r w:rsidR="001702D2">
        <w:rPr>
          <w:spacing w:val="-3"/>
          <w:szCs w:val="24"/>
        </w:rPr>
        <w:t xml:space="preserve"> and, even more so,</w:t>
      </w:r>
      <w:r w:rsidR="009202E5">
        <w:rPr>
          <w:spacing w:val="-3"/>
          <w:szCs w:val="24"/>
        </w:rPr>
        <w:t xml:space="preserve"> Hilary</w:t>
      </w:r>
      <w:r w:rsidR="001702D2">
        <w:rPr>
          <w:spacing w:val="-3"/>
          <w:szCs w:val="24"/>
        </w:rPr>
        <w:t xml:space="preserve"> Putnam’s </w:t>
      </w:r>
      <w:r w:rsidR="00305F89" w:rsidRPr="007A2C81">
        <w:rPr>
          <w:spacing w:val="-3"/>
          <w:szCs w:val="24"/>
        </w:rPr>
        <w:t>“Twin Earth”</w:t>
      </w:r>
      <w:r w:rsidR="00AA67A7">
        <w:rPr>
          <w:spacing w:val="-3"/>
          <w:szCs w:val="24"/>
        </w:rPr>
        <w:t xml:space="preserve"> (1973, 1975)</w:t>
      </w:r>
      <w:r w:rsidR="00305F89" w:rsidRPr="007A2C81">
        <w:rPr>
          <w:spacing w:val="-3"/>
          <w:szCs w:val="24"/>
        </w:rPr>
        <w:t>)</w:t>
      </w:r>
      <w:r w:rsidRPr="007A2C81">
        <w:rPr>
          <w:spacing w:val="-3"/>
          <w:szCs w:val="24"/>
        </w:rPr>
        <w:t xml:space="preserve">. Inspired by them it is </w:t>
      </w:r>
      <w:r w:rsidRPr="007A2C81">
        <w:rPr>
          <w:i/>
          <w:spacing w:val="-3"/>
          <w:szCs w:val="24"/>
        </w:rPr>
        <w:t>very</w:t>
      </w:r>
      <w:r w:rsidRPr="007A2C81">
        <w:rPr>
          <w:spacing w:val="-3"/>
          <w:szCs w:val="24"/>
        </w:rPr>
        <w:t xml:space="preserve"> </w:t>
      </w:r>
      <w:r w:rsidRPr="007A2C81">
        <w:rPr>
          <w:i/>
          <w:spacing w:val="-3"/>
          <w:szCs w:val="24"/>
        </w:rPr>
        <w:t>easy</w:t>
      </w:r>
      <w:r w:rsidRPr="007A2C81">
        <w:rPr>
          <w:spacing w:val="-3"/>
          <w:szCs w:val="24"/>
        </w:rPr>
        <w:t xml:space="preserve"> to come up with countless cases, each just as humdrum and each yielding the intuition that a speaker</w:t>
      </w:r>
      <w:r w:rsidR="00295CE0" w:rsidRPr="007A2C81">
        <w:rPr>
          <w:spacing w:val="-3"/>
          <w:szCs w:val="24"/>
        </w:rPr>
        <w:t>’</w:t>
      </w:r>
      <w:r w:rsidRPr="007A2C81">
        <w:rPr>
          <w:spacing w:val="-3"/>
          <w:szCs w:val="24"/>
        </w:rPr>
        <w:t>s use of a name designates an object despite the speaker</w:t>
      </w:r>
      <w:r w:rsidR="00295CE0" w:rsidRPr="007A2C81">
        <w:rPr>
          <w:spacing w:val="-3"/>
          <w:szCs w:val="24"/>
        </w:rPr>
        <w:t>’</w:t>
      </w:r>
      <w:r w:rsidRPr="007A2C81">
        <w:rPr>
          <w:spacing w:val="-3"/>
          <w:szCs w:val="24"/>
        </w:rPr>
        <w:t>s ignorance or error about the object.</w:t>
      </w:r>
      <w:r w:rsidRPr="007A2C81">
        <w:rPr>
          <w:rStyle w:val="FootnoteReference"/>
          <w:spacing w:val="-3"/>
          <w:szCs w:val="24"/>
        </w:rPr>
        <w:footnoteReference w:id="7"/>
      </w:r>
      <w:r w:rsidRPr="007A2C81">
        <w:rPr>
          <w:spacing w:val="-3"/>
          <w:szCs w:val="24"/>
        </w:rPr>
        <w:t xml:space="preserve"> These intuitions are very powerful because </w:t>
      </w:r>
      <w:r w:rsidRPr="007A2C81">
        <w:rPr>
          <w:i/>
          <w:spacing w:val="-3"/>
          <w:szCs w:val="24"/>
        </w:rPr>
        <w:t>to reject them is to rule that many names out of just about every mouth fail to designate what they should</w:t>
      </w:r>
      <w:r w:rsidRPr="007A2C81">
        <w:rPr>
          <w:spacing w:val="-3"/>
          <w:szCs w:val="24"/>
        </w:rPr>
        <w:t>.</w:t>
      </w:r>
      <w:r w:rsidRPr="007A2C81">
        <w:rPr>
          <w:szCs w:val="24"/>
        </w:rPr>
        <w:t xml:space="preserve"> </w:t>
      </w:r>
      <w:r w:rsidRPr="007A2C81">
        <w:rPr>
          <w:spacing w:val="-3"/>
          <w:szCs w:val="24"/>
        </w:rPr>
        <w:t xml:space="preserve"> </w:t>
      </w:r>
      <w:r w:rsidR="00305F89" w:rsidRPr="007A2C81">
        <w:rPr>
          <w:spacing w:val="-3"/>
          <w:szCs w:val="24"/>
        </w:rPr>
        <w:t>And, so far as I know, no philosopher has rejected them.</w:t>
      </w:r>
      <w:r w:rsidR="008D2D18" w:rsidRPr="007A2C81">
        <w:rPr>
          <w:rStyle w:val="FootnoteReference"/>
          <w:spacing w:val="-3"/>
          <w:szCs w:val="24"/>
        </w:rPr>
        <w:footnoteReference w:id="8"/>
      </w:r>
    </w:p>
    <w:p w:rsidR="000775F5" w:rsidRPr="007A2C81" w:rsidRDefault="000775F5" w:rsidP="00BE5623">
      <w:pPr>
        <w:rPr>
          <w:spacing w:val="-3"/>
          <w:szCs w:val="24"/>
        </w:rPr>
      </w:pPr>
    </w:p>
    <w:p w:rsidR="00E661A7" w:rsidRPr="007A2C81" w:rsidRDefault="00D70ED8" w:rsidP="00BE5623">
      <w:pPr>
        <w:rPr>
          <w:rFonts w:cs="Times New Roman"/>
          <w:szCs w:val="24"/>
        </w:rPr>
      </w:pPr>
      <w:r w:rsidRPr="007A2C81">
        <w:rPr>
          <w:spacing w:val="-3"/>
          <w:szCs w:val="24"/>
        </w:rPr>
        <w:tab/>
        <w:t xml:space="preserve">This is not to say that philosophers gave up on description theories of names in the face of this argument. Many tried to come up with novel description theories that avoided Ignorance and Error. </w:t>
      </w:r>
      <w:r w:rsidR="00E661A7" w:rsidRPr="007A2C81">
        <w:rPr>
          <w:rFonts w:cs="Times New Roman"/>
          <w:szCs w:val="24"/>
        </w:rPr>
        <w:t>Panu Raatikainen (2020) has recently given a critical summary of some these</w:t>
      </w:r>
      <w:r w:rsidR="002A722F" w:rsidRPr="007A2C81">
        <w:rPr>
          <w:rFonts w:cs="Times New Roman"/>
          <w:szCs w:val="24"/>
        </w:rPr>
        <w:t>,</w:t>
      </w:r>
      <w:r w:rsidR="00E661A7" w:rsidRPr="007A2C81">
        <w:rPr>
          <w:rFonts w:cs="Times New Roman"/>
          <w:szCs w:val="24"/>
        </w:rPr>
        <w:t xml:space="preserve"> including this most notable one:</w:t>
      </w:r>
    </w:p>
    <w:p w:rsidR="007F1F18" w:rsidRPr="007A2C81" w:rsidRDefault="007F1F18" w:rsidP="00BE5623">
      <w:pPr>
        <w:pStyle w:val="WW-Oletus"/>
      </w:pPr>
    </w:p>
    <w:p w:rsidR="007F1F18" w:rsidRPr="007A2C81" w:rsidRDefault="007F1F18" w:rsidP="00BE5623">
      <w:pPr>
        <w:pStyle w:val="WW-Oletus"/>
        <w:ind w:left="720"/>
      </w:pPr>
      <w:r w:rsidRPr="007A2C81">
        <w:t xml:space="preserve">“causal descriptivism” favored by David Lewis (1984), Fred Kroon (1987), and Frank Jackson (1998)…speakers associate with a name </w:t>
      </w:r>
      <w:r w:rsidR="00295CE0" w:rsidRPr="007A2C81">
        <w:t>‘</w:t>
      </w:r>
      <w:r w:rsidRPr="007A2C81">
        <w:rPr>
          <w:i/>
        </w:rPr>
        <w:t>N</w:t>
      </w:r>
      <w:r w:rsidR="00295CE0" w:rsidRPr="007A2C81">
        <w:t>’</w:t>
      </w:r>
      <w:r w:rsidRPr="007A2C81">
        <w:t xml:space="preserve"> a description of the form </w:t>
      </w:r>
      <w:r w:rsidR="00295CE0" w:rsidRPr="007A2C81">
        <w:t>‘</w:t>
      </w:r>
      <w:r w:rsidRPr="007A2C81">
        <w:t xml:space="preserve">The entity standing in relation </w:t>
      </w:r>
      <w:r w:rsidRPr="007A2C81">
        <w:rPr>
          <w:i/>
        </w:rPr>
        <w:t>R</w:t>
      </w:r>
      <w:r w:rsidRPr="007A2C81">
        <w:t xml:space="preserve"> to my current use of the name </w:t>
      </w:r>
      <w:r w:rsidR="00295CE0" w:rsidRPr="007A2C81">
        <w:t>‘</w:t>
      </w:r>
      <w:r w:rsidRPr="007A2C81">
        <w:rPr>
          <w:i/>
        </w:rPr>
        <w:t>N</w:t>
      </w:r>
      <w:r w:rsidR="00295CE0" w:rsidRPr="007A2C81">
        <w:t>’’</w:t>
      </w:r>
      <w:r w:rsidRPr="007A2C81">
        <w:t xml:space="preserve">, and this description determines the reference of </w:t>
      </w:r>
      <w:r w:rsidR="00295CE0" w:rsidRPr="007A2C81">
        <w:t>‘</w:t>
      </w:r>
      <w:r w:rsidRPr="007A2C81">
        <w:rPr>
          <w:i/>
        </w:rPr>
        <w:t>N</w:t>
      </w:r>
      <w:r w:rsidR="00295CE0" w:rsidRPr="007A2C81">
        <w:t>’</w:t>
      </w:r>
      <w:r w:rsidRPr="007A2C81">
        <w:t xml:space="preserve">. The relation </w:t>
      </w:r>
      <w:r w:rsidRPr="007A2C81">
        <w:rPr>
          <w:i/>
        </w:rPr>
        <w:t>R</w:t>
      </w:r>
      <w:r w:rsidRPr="007A2C81">
        <w:t xml:space="preserve"> here is drawn from the rival non-descriptivist (e.g. the </w:t>
      </w:r>
      <w:r w:rsidRPr="007A2C81">
        <w:lastRenderedPageBreak/>
        <w:t>causal-historical chain picture) theory of reference. (</w:t>
      </w:r>
      <w:r w:rsidR="00B5061E" w:rsidRPr="007A2C81">
        <w:t xml:space="preserve">2020: </w:t>
      </w:r>
      <w:r w:rsidRPr="007A2C81">
        <w:t>##23)</w:t>
      </w:r>
      <w:r w:rsidRPr="007A2C81">
        <w:rPr>
          <w:vertAlign w:val="superscript"/>
        </w:rPr>
        <w:footnoteReference w:id="9"/>
      </w:r>
      <w:r w:rsidRPr="007A2C81">
        <w:t xml:space="preserve"> </w:t>
      </w:r>
    </w:p>
    <w:p w:rsidR="007F1F18" w:rsidRPr="007A2C81" w:rsidRDefault="007F1F18" w:rsidP="00BE5623">
      <w:pPr>
        <w:pStyle w:val="WW-Oletus"/>
        <w:ind w:left="720"/>
      </w:pPr>
    </w:p>
    <w:p w:rsidR="007F1F18" w:rsidRPr="007A2C81" w:rsidRDefault="007F1F18" w:rsidP="00BE5623">
      <w:pPr>
        <w:pStyle w:val="WW-Oletus"/>
        <w:rPr>
          <w:lang w:val="en-US"/>
        </w:rPr>
      </w:pPr>
      <w:r w:rsidRPr="007A2C81">
        <w:rPr>
          <w:lang w:val="en-US"/>
        </w:rPr>
        <w:t xml:space="preserve">The theory is “ingenious, but fishy” </w:t>
      </w:r>
      <w:r w:rsidR="00D24A32" w:rsidRPr="007A2C81">
        <w:rPr>
          <w:lang w:val="en-US"/>
        </w:rPr>
        <w:t>(</w:t>
      </w:r>
      <w:r w:rsidRPr="007A2C81">
        <w:rPr>
          <w:lang w:val="en-US"/>
        </w:rPr>
        <w:t>Devitt and Sterelny 1999: 61), not least because it is parasitic on the causal-historical theory.</w:t>
      </w:r>
    </w:p>
    <w:p w:rsidR="007F1F18" w:rsidRPr="007A2C81" w:rsidRDefault="007F1F18" w:rsidP="00BE5623">
      <w:pPr>
        <w:pStyle w:val="WW-Oletus"/>
        <w:ind w:left="720"/>
      </w:pPr>
    </w:p>
    <w:p w:rsidR="007F1F18" w:rsidRPr="007A2C81" w:rsidRDefault="007F1F18" w:rsidP="00BE5623">
      <w:pPr>
        <w:pStyle w:val="WW-Oletus"/>
        <w:ind w:firstLine="720"/>
        <w:rPr>
          <w:lang w:val="en-US"/>
        </w:rPr>
      </w:pPr>
      <w:r w:rsidRPr="007A2C81">
        <w:t xml:space="preserve">One objection to the theory is that it requires every competent speaker to associate </w:t>
      </w:r>
      <w:r w:rsidR="00295CE0" w:rsidRPr="007A2C81">
        <w:t>‘</w:t>
      </w:r>
      <w:r w:rsidRPr="007A2C81">
        <w:rPr>
          <w:i/>
        </w:rPr>
        <w:t>N</w:t>
      </w:r>
      <w:r w:rsidR="00295CE0" w:rsidRPr="007A2C81">
        <w:t>’</w:t>
      </w:r>
      <w:r w:rsidRPr="007A2C81">
        <w:t xml:space="preserve"> with the above “</w:t>
      </w:r>
      <w:r w:rsidRPr="007A2C81">
        <w:rPr>
          <w:i/>
        </w:rPr>
        <w:t>R</w:t>
      </w:r>
      <w:r w:rsidRPr="007A2C81">
        <w:t xml:space="preserve">-description” and hence, in effect, </w:t>
      </w:r>
      <w:r w:rsidR="00D73D0F" w:rsidRPr="007A2C81">
        <w:t xml:space="preserve">to </w:t>
      </w:r>
      <w:r w:rsidRPr="007A2C81">
        <w:t xml:space="preserve">know that </w:t>
      </w:r>
      <w:r w:rsidR="00295CE0" w:rsidRPr="007A2C81">
        <w:rPr>
          <w:i/>
        </w:rPr>
        <w:t>‘</w:t>
      </w:r>
      <w:r w:rsidRPr="007A2C81">
        <w:rPr>
          <w:i/>
        </w:rPr>
        <w:t>N</w:t>
      </w:r>
      <w:r w:rsidR="00295CE0" w:rsidRPr="007A2C81">
        <w:rPr>
          <w:i/>
        </w:rPr>
        <w:t>’</w:t>
      </w:r>
      <w:r w:rsidRPr="007A2C81">
        <w:rPr>
          <w:i/>
        </w:rPr>
        <w:t xml:space="preserve"> stands in relation R to the referent, where R is the relation specified by the causal-historical theory</w:t>
      </w:r>
      <w:r w:rsidRPr="007A2C81">
        <w:t xml:space="preserve">. Note that causal descriptivism does not require that speakers know </w:t>
      </w:r>
      <w:r w:rsidRPr="007A2C81">
        <w:rPr>
          <w:i/>
        </w:rPr>
        <w:t>that very theory,</w:t>
      </w:r>
      <w:r w:rsidRPr="007A2C81">
        <w:t xml:space="preserve"> know that it is </w:t>
      </w:r>
      <w:r w:rsidRPr="007A2C81">
        <w:rPr>
          <w:i/>
        </w:rPr>
        <w:t>in virtue of</w:t>
      </w:r>
      <w:r w:rsidRPr="007A2C81">
        <w:t xml:space="preserve"> such associations/knowledge that </w:t>
      </w:r>
      <w:r w:rsidR="00295CE0" w:rsidRPr="007A2C81">
        <w:t>‘</w:t>
      </w:r>
      <w:r w:rsidRPr="007A2C81">
        <w:t>N</w:t>
      </w:r>
      <w:r w:rsidR="00295CE0" w:rsidRPr="007A2C81">
        <w:t>’</w:t>
      </w:r>
      <w:r w:rsidRPr="007A2C81">
        <w:t xml:space="preserve"> refers to its referent. But it does require that speakers have the knowledge on which the theory is built. This is highly implausible</w:t>
      </w:r>
      <w:r w:rsidR="00121B1D" w:rsidRPr="007A2C81">
        <w:t xml:space="preserve"> given that no</w:t>
      </w:r>
      <w:r w:rsidR="008C068A" w:rsidRPr="007A2C81">
        <w:t>t even</w:t>
      </w:r>
      <w:r w:rsidR="00121B1D" w:rsidRPr="007A2C81">
        <w:t xml:space="preserve"> </w:t>
      </w:r>
      <w:r w:rsidR="00121B1D" w:rsidRPr="007A2C81">
        <w:rPr>
          <w:i/>
        </w:rPr>
        <w:t>causal</w:t>
      </w:r>
      <w:r w:rsidR="008C068A" w:rsidRPr="007A2C81">
        <w:t xml:space="preserve"> </w:t>
      </w:r>
      <w:r w:rsidR="008C068A" w:rsidRPr="007A2C81">
        <w:rPr>
          <w:i/>
        </w:rPr>
        <w:t>theori</w:t>
      </w:r>
      <w:r w:rsidR="00121B1D" w:rsidRPr="007A2C81">
        <w:rPr>
          <w:i/>
        </w:rPr>
        <w:t>st</w:t>
      </w:r>
      <w:r w:rsidR="008C068A" w:rsidRPr="007A2C81">
        <w:rPr>
          <w:i/>
        </w:rPr>
        <w:t>s</w:t>
      </w:r>
      <w:r w:rsidR="00121B1D" w:rsidRPr="007A2C81">
        <w:t xml:space="preserve"> should be so immodest as to suppose that </w:t>
      </w:r>
      <w:r w:rsidR="008C068A" w:rsidRPr="007A2C81">
        <w:t>they have</w:t>
      </w:r>
      <w:r w:rsidR="00121B1D" w:rsidRPr="007A2C81">
        <w:t xml:space="preserve"> discovered the </w:t>
      </w:r>
      <w:r w:rsidR="00121B1D" w:rsidRPr="007A2C81">
        <w:rPr>
          <w:i/>
        </w:rPr>
        <w:t>R</w:t>
      </w:r>
      <w:r w:rsidR="00121B1D" w:rsidRPr="007A2C81">
        <w:t xml:space="preserve"> that determines reference!</w:t>
      </w:r>
      <w:r w:rsidRPr="007A2C81">
        <w:t xml:space="preserve"> Although causal descriptivism was designed to avoid ignorance and error problems</w:t>
      </w:r>
      <w:r w:rsidR="00F357E6" w:rsidRPr="007A2C81">
        <w:t>,</w:t>
      </w:r>
      <w:r w:rsidRPr="007A2C81">
        <w:t xml:space="preserve"> it has a raised a </w:t>
      </w:r>
      <w:r w:rsidR="00446E37" w:rsidRPr="007A2C81">
        <w:t>big</w:t>
      </w:r>
      <w:r w:rsidRPr="007A2C81">
        <w:t xml:space="preserve"> one.</w:t>
      </w:r>
      <w:r w:rsidRPr="007A2C81">
        <w:rPr>
          <w:vertAlign w:val="superscript"/>
        </w:rPr>
        <w:footnoteReference w:id="10"/>
      </w:r>
    </w:p>
    <w:p w:rsidR="007F1F18" w:rsidRPr="007A2C81" w:rsidRDefault="007F1F18" w:rsidP="00BE5623">
      <w:pPr>
        <w:pStyle w:val="WW-Oletus"/>
        <w:ind w:left="720"/>
        <w:rPr>
          <w:lang w:val="en-US"/>
        </w:rPr>
      </w:pPr>
    </w:p>
    <w:p w:rsidR="008C3C3B" w:rsidRPr="007A2C81" w:rsidRDefault="00860156" w:rsidP="00BE5623">
      <w:pPr>
        <w:ind w:firstLine="720"/>
        <w:rPr>
          <w:szCs w:val="24"/>
        </w:rPr>
      </w:pPr>
      <w:r w:rsidRPr="007A2C81">
        <w:rPr>
          <w:szCs w:val="24"/>
        </w:rPr>
        <w:t xml:space="preserve">Kripke would surely raise this objection to causal descriptivism. </w:t>
      </w:r>
      <w:r w:rsidR="002C6DCE" w:rsidRPr="007A2C81">
        <w:rPr>
          <w:szCs w:val="24"/>
        </w:rPr>
        <w:t>And</w:t>
      </w:r>
      <w:r w:rsidR="00F40656">
        <w:rPr>
          <w:szCs w:val="24"/>
        </w:rPr>
        <w:t xml:space="preserve"> he might well</w:t>
      </w:r>
      <w:r w:rsidR="00905D4E" w:rsidRPr="007A2C81">
        <w:rPr>
          <w:szCs w:val="24"/>
        </w:rPr>
        <w:t xml:space="preserve"> approve of</w:t>
      </w:r>
      <w:r w:rsidRPr="007A2C81">
        <w:rPr>
          <w:szCs w:val="24"/>
        </w:rPr>
        <w:t xml:space="preserve"> the following </w:t>
      </w:r>
      <w:r w:rsidR="009202E5">
        <w:rPr>
          <w:szCs w:val="24"/>
        </w:rPr>
        <w:t>one</w:t>
      </w:r>
      <w:r w:rsidR="0014277C" w:rsidRPr="007A2C81">
        <w:rPr>
          <w:szCs w:val="24"/>
        </w:rPr>
        <w:t xml:space="preserve"> which</w:t>
      </w:r>
      <w:r w:rsidRPr="007A2C81">
        <w:rPr>
          <w:szCs w:val="24"/>
        </w:rPr>
        <w:t xml:space="preserve"> strikes at the parasitic heart of the theory</w:t>
      </w:r>
      <w:r w:rsidR="007F1F18" w:rsidRPr="007A2C81">
        <w:rPr>
          <w:szCs w:val="24"/>
        </w:rPr>
        <w:t xml:space="preserve"> (Devitt and Sterelny 1999: 61)</w:t>
      </w:r>
      <w:r w:rsidRPr="007A2C81">
        <w:rPr>
          <w:szCs w:val="24"/>
        </w:rPr>
        <w:t xml:space="preserve">. According to causal descriptivism, reference is determined by the </w:t>
      </w:r>
      <w:r w:rsidRPr="007A2C81">
        <w:rPr>
          <w:i/>
          <w:szCs w:val="24"/>
        </w:rPr>
        <w:t>speakers</w:t>
      </w:r>
      <w:r w:rsidR="00295CE0" w:rsidRPr="007A2C81">
        <w:rPr>
          <w:i/>
          <w:szCs w:val="24"/>
        </w:rPr>
        <w:t>’</w:t>
      </w:r>
      <w:r w:rsidRPr="007A2C81">
        <w:rPr>
          <w:i/>
          <w:szCs w:val="24"/>
        </w:rPr>
        <w:t xml:space="preserve"> association of the R-description with </w:t>
      </w:r>
      <w:r w:rsidR="00295CE0" w:rsidRPr="007A2C81">
        <w:rPr>
          <w:i/>
          <w:szCs w:val="24"/>
        </w:rPr>
        <w:t>‘</w:t>
      </w:r>
      <w:r w:rsidRPr="007A2C81">
        <w:rPr>
          <w:i/>
          <w:szCs w:val="24"/>
        </w:rPr>
        <w:t>N</w:t>
      </w:r>
      <w:r w:rsidR="00295CE0" w:rsidRPr="007A2C81">
        <w:rPr>
          <w:i/>
          <w:szCs w:val="24"/>
        </w:rPr>
        <w:t>’</w:t>
      </w:r>
      <w:r w:rsidR="00F357E6" w:rsidRPr="007A2C81">
        <w:rPr>
          <w:szCs w:val="24"/>
        </w:rPr>
        <w:t>. But that</w:t>
      </w:r>
      <w:r w:rsidRPr="007A2C81">
        <w:rPr>
          <w:szCs w:val="24"/>
        </w:rPr>
        <w:t xml:space="preserve"> association must be redundant.</w:t>
      </w:r>
      <w:r w:rsidR="008C3C3B" w:rsidRPr="007A2C81">
        <w:rPr>
          <w:szCs w:val="24"/>
        </w:rPr>
        <w:t xml:space="preserve"> In claiming that the</w:t>
      </w:r>
      <w:r w:rsidR="00F40656" w:rsidRPr="007A2C81">
        <w:rPr>
          <w:szCs w:val="24"/>
        </w:rPr>
        <w:t xml:space="preserve"> referent of ‘</w:t>
      </w:r>
      <w:r w:rsidR="00F40656" w:rsidRPr="007A2C81">
        <w:rPr>
          <w:i/>
          <w:szCs w:val="24"/>
        </w:rPr>
        <w:t>N</w:t>
      </w:r>
      <w:r w:rsidR="00F40656" w:rsidRPr="007A2C81">
        <w:rPr>
          <w:szCs w:val="24"/>
        </w:rPr>
        <w:t>’</w:t>
      </w:r>
      <w:r w:rsidR="00F40656">
        <w:rPr>
          <w:szCs w:val="24"/>
        </w:rPr>
        <w:t xml:space="preserve"> is the object the</w:t>
      </w:r>
      <w:r w:rsidR="00F357E6" w:rsidRPr="007A2C81">
        <w:rPr>
          <w:szCs w:val="24"/>
        </w:rPr>
        <w:t xml:space="preserve"> </w:t>
      </w:r>
      <w:r w:rsidR="00295CE0" w:rsidRPr="007A2C81">
        <w:rPr>
          <w:szCs w:val="24"/>
        </w:rPr>
        <w:t>‘</w:t>
      </w:r>
      <w:r w:rsidR="008C3C3B" w:rsidRPr="007A2C81">
        <w:rPr>
          <w:i/>
          <w:szCs w:val="24"/>
        </w:rPr>
        <w:t>R</w:t>
      </w:r>
      <w:r w:rsidR="00295CE0" w:rsidRPr="007A2C81">
        <w:rPr>
          <w:szCs w:val="24"/>
        </w:rPr>
        <w:t>’</w:t>
      </w:r>
      <w:r w:rsidR="008C3C3B" w:rsidRPr="007A2C81">
        <w:rPr>
          <w:szCs w:val="24"/>
        </w:rPr>
        <w:t>-description</w:t>
      </w:r>
      <w:r w:rsidR="00F40656">
        <w:rPr>
          <w:szCs w:val="24"/>
        </w:rPr>
        <w:t xml:space="preserve"> identifies</w:t>
      </w:r>
      <w:r w:rsidR="008C3C3B" w:rsidRPr="007A2C81">
        <w:rPr>
          <w:szCs w:val="24"/>
        </w:rPr>
        <w:t xml:space="preserve">, the causal descriptivist accepts that </w:t>
      </w:r>
      <w:r w:rsidR="00295CE0" w:rsidRPr="007A2C81">
        <w:rPr>
          <w:szCs w:val="24"/>
        </w:rPr>
        <w:t>‘</w:t>
      </w:r>
      <w:r w:rsidR="008C3C3B" w:rsidRPr="007A2C81">
        <w:rPr>
          <w:i/>
          <w:szCs w:val="24"/>
        </w:rPr>
        <w:t>N</w:t>
      </w:r>
      <w:r w:rsidR="00295CE0" w:rsidRPr="007A2C81">
        <w:rPr>
          <w:szCs w:val="24"/>
        </w:rPr>
        <w:t>’</w:t>
      </w:r>
      <w:r w:rsidR="008C3C3B" w:rsidRPr="007A2C81">
        <w:rPr>
          <w:szCs w:val="24"/>
        </w:rPr>
        <w:t xml:space="preserve"> stands in the distinctive relation </w:t>
      </w:r>
      <w:r w:rsidR="008C3C3B" w:rsidRPr="007A2C81">
        <w:rPr>
          <w:i/>
          <w:szCs w:val="24"/>
        </w:rPr>
        <w:t>R</w:t>
      </w:r>
      <w:r w:rsidR="008C3C3B" w:rsidRPr="007A2C81">
        <w:rPr>
          <w:szCs w:val="24"/>
        </w:rPr>
        <w:t xml:space="preserve"> to that referent.</w:t>
      </w:r>
      <w:r w:rsidR="00F40656">
        <w:rPr>
          <w:szCs w:val="24"/>
        </w:rPr>
        <w:t xml:space="preserve"> Then</w:t>
      </w:r>
      <w:r w:rsidR="008C3C3B" w:rsidRPr="007A2C81">
        <w:rPr>
          <w:szCs w:val="24"/>
        </w:rPr>
        <w:t xml:space="preserve"> </w:t>
      </w:r>
      <w:r w:rsidR="001D5C17" w:rsidRPr="001D5C17">
        <w:rPr>
          <w:i/>
          <w:szCs w:val="24"/>
        </w:rPr>
        <w:t>R</w:t>
      </w:r>
      <w:r w:rsidR="008C3C3B" w:rsidRPr="007A2C81">
        <w:rPr>
          <w:szCs w:val="24"/>
        </w:rPr>
        <w:t xml:space="preserve"> alone is sufficient to explain reference.  Requiring the speaker to associate the </w:t>
      </w:r>
      <w:r w:rsidR="00295CE0" w:rsidRPr="007A2C81">
        <w:rPr>
          <w:szCs w:val="24"/>
        </w:rPr>
        <w:t>‘</w:t>
      </w:r>
      <w:r w:rsidR="008C3C3B" w:rsidRPr="007A2C81">
        <w:rPr>
          <w:i/>
          <w:szCs w:val="24"/>
        </w:rPr>
        <w:t>R</w:t>
      </w:r>
      <w:r w:rsidR="00295CE0" w:rsidRPr="007A2C81">
        <w:rPr>
          <w:szCs w:val="24"/>
        </w:rPr>
        <w:t>’</w:t>
      </w:r>
      <w:r w:rsidR="008C3C3B" w:rsidRPr="007A2C81">
        <w:rPr>
          <w:szCs w:val="24"/>
        </w:rPr>
        <w:t>-description does no theoretical work.</w:t>
      </w:r>
    </w:p>
    <w:p w:rsidR="00E661A7" w:rsidRPr="007A2C81" w:rsidRDefault="00E661A7" w:rsidP="00BE5623">
      <w:pPr>
        <w:rPr>
          <w:szCs w:val="24"/>
        </w:rPr>
      </w:pPr>
    </w:p>
    <w:p w:rsidR="00E54540" w:rsidRPr="007A2C81" w:rsidRDefault="001B6FFC" w:rsidP="001B6FFC">
      <w:pPr>
        <w:rPr>
          <w:szCs w:val="24"/>
        </w:rPr>
      </w:pPr>
      <w:r w:rsidRPr="007A2C81">
        <w:rPr>
          <w:szCs w:val="24"/>
        </w:rPr>
        <w:tab/>
        <w:t>The power</w:t>
      </w:r>
      <w:r w:rsidR="00840A1D" w:rsidRPr="007A2C81">
        <w:rPr>
          <w:szCs w:val="24"/>
        </w:rPr>
        <w:t xml:space="preserve"> and reach</w:t>
      </w:r>
      <w:r w:rsidRPr="007A2C81">
        <w:rPr>
          <w:szCs w:val="24"/>
        </w:rPr>
        <w:t xml:space="preserve"> of Ignorance and Error arguments is great and insufficiently </w:t>
      </w:r>
      <w:r w:rsidR="005D49C6" w:rsidRPr="007A2C81">
        <w:rPr>
          <w:szCs w:val="24"/>
        </w:rPr>
        <w:t>recognized</w:t>
      </w:r>
      <w:r w:rsidRPr="007A2C81">
        <w:rPr>
          <w:szCs w:val="24"/>
        </w:rPr>
        <w:t xml:space="preserve">. </w:t>
      </w:r>
      <w:r w:rsidR="00967818" w:rsidRPr="007A2C81">
        <w:rPr>
          <w:i/>
          <w:szCs w:val="24"/>
        </w:rPr>
        <w:t>Any</w:t>
      </w:r>
      <w:r w:rsidR="00967818" w:rsidRPr="007A2C81">
        <w:rPr>
          <w:szCs w:val="24"/>
        </w:rPr>
        <w:t xml:space="preserve"> description theory of </w:t>
      </w:r>
      <w:r w:rsidR="00967818" w:rsidRPr="007A2C81">
        <w:rPr>
          <w:i/>
          <w:szCs w:val="24"/>
        </w:rPr>
        <w:t>any</w:t>
      </w:r>
      <w:r w:rsidR="00967818" w:rsidRPr="007A2C81">
        <w:rPr>
          <w:szCs w:val="24"/>
        </w:rPr>
        <w:t xml:space="preserve"> term faces the Ignorance and Error challenge. This is not to say that all such theories</w:t>
      </w:r>
      <w:r w:rsidR="0014277C" w:rsidRPr="007A2C81">
        <w:rPr>
          <w:szCs w:val="24"/>
        </w:rPr>
        <w:t xml:space="preserve"> </w:t>
      </w:r>
      <w:r w:rsidR="0014277C" w:rsidRPr="007A2C81">
        <w:rPr>
          <w:i/>
          <w:szCs w:val="24"/>
        </w:rPr>
        <w:t>fail</w:t>
      </w:r>
      <w:r w:rsidR="00967818" w:rsidRPr="007A2C81">
        <w:rPr>
          <w:szCs w:val="24"/>
        </w:rPr>
        <w:t xml:space="preserve"> the challenge. For example, may</w:t>
      </w:r>
      <w:r w:rsidR="00A156EA">
        <w:rPr>
          <w:szCs w:val="24"/>
        </w:rPr>
        <w:t>be a description theory of the social kind</w:t>
      </w:r>
      <w:r w:rsidR="00967818" w:rsidRPr="007A2C81">
        <w:rPr>
          <w:szCs w:val="24"/>
        </w:rPr>
        <w:t xml:space="preserve"> term </w:t>
      </w:r>
      <w:r w:rsidR="00295CE0" w:rsidRPr="007A2C81">
        <w:rPr>
          <w:szCs w:val="24"/>
        </w:rPr>
        <w:t>‘</w:t>
      </w:r>
      <w:r w:rsidR="00967818" w:rsidRPr="007A2C81">
        <w:rPr>
          <w:szCs w:val="24"/>
        </w:rPr>
        <w:t>bachelor</w:t>
      </w:r>
      <w:r w:rsidR="00295CE0" w:rsidRPr="007A2C81">
        <w:rPr>
          <w:szCs w:val="24"/>
        </w:rPr>
        <w:t>’</w:t>
      </w:r>
      <w:r w:rsidR="00967818" w:rsidRPr="007A2C81">
        <w:rPr>
          <w:szCs w:val="24"/>
        </w:rPr>
        <w:t xml:space="preserve"> </w:t>
      </w:r>
      <w:r w:rsidR="007F1F18" w:rsidRPr="007A2C81">
        <w:rPr>
          <w:szCs w:val="24"/>
        </w:rPr>
        <w:t>does not</w:t>
      </w:r>
      <w:r w:rsidR="00EA35B7" w:rsidRPr="007A2C81">
        <w:rPr>
          <w:szCs w:val="24"/>
        </w:rPr>
        <w:t xml:space="preserve"> fail</w:t>
      </w:r>
      <w:r w:rsidR="00967818" w:rsidRPr="007A2C81">
        <w:rPr>
          <w:szCs w:val="24"/>
        </w:rPr>
        <w:t xml:space="preserve">: perhaps all competent speakers do associate </w:t>
      </w:r>
      <w:r w:rsidR="00295CE0" w:rsidRPr="007A2C81">
        <w:rPr>
          <w:szCs w:val="24"/>
        </w:rPr>
        <w:t>‘</w:t>
      </w:r>
      <w:r w:rsidR="007F1F18" w:rsidRPr="007A2C81">
        <w:rPr>
          <w:szCs w:val="24"/>
        </w:rPr>
        <w:t>bachelor</w:t>
      </w:r>
      <w:r w:rsidR="00295CE0" w:rsidRPr="007A2C81">
        <w:rPr>
          <w:szCs w:val="24"/>
        </w:rPr>
        <w:t>’</w:t>
      </w:r>
      <w:r w:rsidR="00967818" w:rsidRPr="007A2C81">
        <w:rPr>
          <w:szCs w:val="24"/>
        </w:rPr>
        <w:t xml:space="preserve"> with </w:t>
      </w:r>
      <w:r w:rsidR="00295CE0" w:rsidRPr="007A2C81">
        <w:rPr>
          <w:szCs w:val="24"/>
        </w:rPr>
        <w:t>‘</w:t>
      </w:r>
      <w:r w:rsidR="00967818" w:rsidRPr="007A2C81">
        <w:rPr>
          <w:szCs w:val="24"/>
        </w:rPr>
        <w:t>adult unmarried male</w:t>
      </w:r>
      <w:r w:rsidR="00295CE0" w:rsidRPr="007A2C81">
        <w:rPr>
          <w:szCs w:val="24"/>
        </w:rPr>
        <w:t>’</w:t>
      </w:r>
      <w:r w:rsidR="00967818" w:rsidRPr="007A2C81">
        <w:rPr>
          <w:szCs w:val="24"/>
        </w:rPr>
        <w:t>. But what about “</w:t>
      </w:r>
      <w:proofErr w:type="spellStart"/>
      <w:r w:rsidR="00967818" w:rsidRPr="007A2C81">
        <w:rPr>
          <w:szCs w:val="24"/>
        </w:rPr>
        <w:t>artifactual</w:t>
      </w:r>
      <w:proofErr w:type="spellEnd"/>
      <w:r w:rsidR="00C22BEB">
        <w:rPr>
          <w:szCs w:val="24"/>
        </w:rPr>
        <w:t>” kind</w:t>
      </w:r>
      <w:r w:rsidR="00967818" w:rsidRPr="007A2C81">
        <w:rPr>
          <w:szCs w:val="24"/>
        </w:rPr>
        <w:t xml:space="preserve"> terms like </w:t>
      </w:r>
      <w:r w:rsidR="00295CE0" w:rsidRPr="007A2C81">
        <w:rPr>
          <w:szCs w:val="24"/>
        </w:rPr>
        <w:t>‘</w:t>
      </w:r>
      <w:r w:rsidR="00967818" w:rsidRPr="007A2C81">
        <w:rPr>
          <w:szCs w:val="24"/>
        </w:rPr>
        <w:t>computer</w:t>
      </w:r>
      <w:r w:rsidR="00295CE0" w:rsidRPr="007A2C81">
        <w:rPr>
          <w:szCs w:val="24"/>
        </w:rPr>
        <w:t>’</w:t>
      </w:r>
      <w:r w:rsidR="00967818" w:rsidRPr="007A2C81">
        <w:rPr>
          <w:szCs w:val="24"/>
        </w:rPr>
        <w:t xml:space="preserve">? </w:t>
      </w:r>
      <w:r w:rsidR="0014277C" w:rsidRPr="007A2C81">
        <w:rPr>
          <w:szCs w:val="24"/>
        </w:rPr>
        <w:t xml:space="preserve">Can the folk accurately describe a computer? </w:t>
      </w:r>
      <w:r w:rsidR="00967818" w:rsidRPr="007A2C81">
        <w:rPr>
          <w:szCs w:val="24"/>
        </w:rPr>
        <w:t xml:space="preserve">And </w:t>
      </w:r>
      <w:proofErr w:type="spellStart"/>
      <w:r w:rsidR="003A46BB" w:rsidRPr="007A2C81">
        <w:rPr>
          <w:szCs w:val="24"/>
        </w:rPr>
        <w:t>Kripke</w:t>
      </w:r>
      <w:r w:rsidR="00295CE0" w:rsidRPr="007A2C81">
        <w:rPr>
          <w:szCs w:val="24"/>
        </w:rPr>
        <w:t>’</w:t>
      </w:r>
      <w:r w:rsidR="00DB32FE" w:rsidRPr="007A2C81">
        <w:rPr>
          <w:szCs w:val="24"/>
        </w:rPr>
        <w:t>s</w:t>
      </w:r>
      <w:proofErr w:type="spellEnd"/>
      <w:r w:rsidR="00DB32FE" w:rsidRPr="007A2C81">
        <w:rPr>
          <w:szCs w:val="24"/>
        </w:rPr>
        <w:t xml:space="preserve"> famous argument</w:t>
      </w:r>
      <w:r w:rsidR="00E47607">
        <w:rPr>
          <w:szCs w:val="24"/>
        </w:rPr>
        <w:t>s</w:t>
      </w:r>
      <w:r w:rsidR="00967818" w:rsidRPr="007A2C81">
        <w:rPr>
          <w:szCs w:val="24"/>
        </w:rPr>
        <w:t xml:space="preserve"> </w:t>
      </w:r>
      <w:r w:rsidR="00DB32FE" w:rsidRPr="007A2C81">
        <w:rPr>
          <w:szCs w:val="24"/>
        </w:rPr>
        <w:t xml:space="preserve">against </w:t>
      </w:r>
      <w:r w:rsidR="00E82AE4" w:rsidRPr="007A2C81">
        <w:rPr>
          <w:szCs w:val="24"/>
        </w:rPr>
        <w:t xml:space="preserve">description theories of many </w:t>
      </w:r>
      <w:r w:rsidR="00967818" w:rsidRPr="007A2C81">
        <w:rPr>
          <w:szCs w:val="24"/>
        </w:rPr>
        <w:t>“natural</w:t>
      </w:r>
      <w:r w:rsidR="00C22BEB">
        <w:rPr>
          <w:szCs w:val="24"/>
        </w:rPr>
        <w:t>” kind</w:t>
      </w:r>
      <w:r w:rsidR="00967818" w:rsidRPr="007A2C81">
        <w:rPr>
          <w:szCs w:val="24"/>
        </w:rPr>
        <w:t xml:space="preserve"> terms</w:t>
      </w:r>
      <w:r w:rsidR="003A46BB" w:rsidRPr="007A2C81">
        <w:rPr>
          <w:szCs w:val="24"/>
        </w:rPr>
        <w:t xml:space="preserve"> </w:t>
      </w:r>
      <w:r w:rsidR="00E54540" w:rsidRPr="007A2C81">
        <w:rPr>
          <w:szCs w:val="24"/>
        </w:rPr>
        <w:t xml:space="preserve">like </w:t>
      </w:r>
      <w:r w:rsidR="00295CE0" w:rsidRPr="007A2C81">
        <w:rPr>
          <w:szCs w:val="24"/>
        </w:rPr>
        <w:t>‘</w:t>
      </w:r>
      <w:r w:rsidR="00E54540" w:rsidRPr="007A2C81">
        <w:rPr>
          <w:szCs w:val="24"/>
        </w:rPr>
        <w:t>tiger</w:t>
      </w:r>
      <w:r w:rsidR="00295CE0" w:rsidRPr="007A2C81">
        <w:rPr>
          <w:szCs w:val="24"/>
        </w:rPr>
        <w:t>’</w:t>
      </w:r>
      <w:r w:rsidR="00E54540" w:rsidRPr="007A2C81">
        <w:rPr>
          <w:szCs w:val="24"/>
        </w:rPr>
        <w:t xml:space="preserve"> and </w:t>
      </w:r>
      <w:r w:rsidR="00295CE0" w:rsidRPr="007A2C81">
        <w:rPr>
          <w:szCs w:val="24"/>
        </w:rPr>
        <w:t>‘</w:t>
      </w:r>
      <w:r w:rsidR="00E54540" w:rsidRPr="007A2C81">
        <w:rPr>
          <w:szCs w:val="24"/>
        </w:rPr>
        <w:t>gold</w:t>
      </w:r>
      <w:r w:rsidR="00295CE0" w:rsidRPr="007A2C81">
        <w:rPr>
          <w:szCs w:val="24"/>
        </w:rPr>
        <w:t>’</w:t>
      </w:r>
      <w:r w:rsidR="00E42B52" w:rsidRPr="007A2C81">
        <w:rPr>
          <w:szCs w:val="24"/>
        </w:rPr>
        <w:t xml:space="preserve"> (116-43</w:t>
      </w:r>
      <w:r w:rsidR="00DB32FE" w:rsidRPr="007A2C81">
        <w:rPr>
          <w:szCs w:val="24"/>
        </w:rPr>
        <w:t>, 156-7),</w:t>
      </w:r>
      <w:r w:rsidR="00EA35B7" w:rsidRPr="007A2C81">
        <w:rPr>
          <w:szCs w:val="24"/>
        </w:rPr>
        <w:t xml:space="preserve"> arguments that are</w:t>
      </w:r>
      <w:r w:rsidR="00DB32FE" w:rsidRPr="007A2C81">
        <w:rPr>
          <w:szCs w:val="24"/>
        </w:rPr>
        <w:t xml:space="preserve"> more Unwanted Necessity</w:t>
      </w:r>
      <w:r w:rsidR="00E47607">
        <w:rPr>
          <w:szCs w:val="24"/>
        </w:rPr>
        <w:t xml:space="preserve"> than Ignorance and Error, show</w:t>
      </w:r>
      <w:r w:rsidR="00DB32FE" w:rsidRPr="007A2C81">
        <w:rPr>
          <w:szCs w:val="24"/>
        </w:rPr>
        <w:t xml:space="preserve"> that those theories</w:t>
      </w:r>
      <w:r w:rsidR="00E54540" w:rsidRPr="007A2C81">
        <w:rPr>
          <w:szCs w:val="24"/>
        </w:rPr>
        <w:t xml:space="preserve"> </w:t>
      </w:r>
      <w:r w:rsidR="00E82AE4" w:rsidRPr="007A2C81">
        <w:rPr>
          <w:szCs w:val="24"/>
        </w:rPr>
        <w:t>fail the challenge.</w:t>
      </w:r>
      <w:r w:rsidR="00E54540" w:rsidRPr="007A2C81">
        <w:rPr>
          <w:szCs w:val="24"/>
        </w:rPr>
        <w:t xml:space="preserve"> Consider also Putnam</w:t>
      </w:r>
      <w:r w:rsidR="00295CE0" w:rsidRPr="007A2C81">
        <w:rPr>
          <w:szCs w:val="24"/>
        </w:rPr>
        <w:t>’</w:t>
      </w:r>
      <w:r w:rsidR="00E54540" w:rsidRPr="007A2C81">
        <w:rPr>
          <w:szCs w:val="24"/>
        </w:rPr>
        <w:t>s</w:t>
      </w:r>
      <w:r w:rsidR="0014277C" w:rsidRPr="007A2C81">
        <w:rPr>
          <w:szCs w:val="24"/>
        </w:rPr>
        <w:t xml:space="preserve"> (1975)</w:t>
      </w:r>
      <w:r w:rsidR="00E54540" w:rsidRPr="007A2C81">
        <w:rPr>
          <w:szCs w:val="24"/>
        </w:rPr>
        <w:t xml:space="preserve"> lovely example of </w:t>
      </w:r>
      <w:r w:rsidR="00295CE0" w:rsidRPr="007A2C81">
        <w:rPr>
          <w:szCs w:val="24"/>
        </w:rPr>
        <w:t>‘</w:t>
      </w:r>
      <w:r w:rsidR="00E54540" w:rsidRPr="007A2C81">
        <w:rPr>
          <w:szCs w:val="24"/>
        </w:rPr>
        <w:t>elm</w:t>
      </w:r>
      <w:r w:rsidR="00295CE0" w:rsidRPr="007A2C81">
        <w:rPr>
          <w:szCs w:val="24"/>
        </w:rPr>
        <w:t>’</w:t>
      </w:r>
      <w:r w:rsidR="00E54540" w:rsidRPr="007A2C81">
        <w:rPr>
          <w:szCs w:val="24"/>
        </w:rPr>
        <w:t xml:space="preserve">: most apparently competent users of this term could not uniquely describe </w:t>
      </w:r>
      <w:r w:rsidR="0014277C" w:rsidRPr="007A2C81">
        <w:rPr>
          <w:szCs w:val="24"/>
        </w:rPr>
        <w:t>elms</w:t>
      </w:r>
      <w:r w:rsidR="00E54540" w:rsidRPr="007A2C81">
        <w:rPr>
          <w:szCs w:val="24"/>
        </w:rPr>
        <w:t xml:space="preserve"> or pick </w:t>
      </w:r>
      <w:r w:rsidR="0014277C" w:rsidRPr="007A2C81">
        <w:rPr>
          <w:szCs w:val="24"/>
        </w:rPr>
        <w:t>one</w:t>
      </w:r>
      <w:r w:rsidR="00E54540" w:rsidRPr="007A2C81">
        <w:rPr>
          <w:szCs w:val="24"/>
        </w:rPr>
        <w:t xml:space="preserve"> out in a crowd of trees.</w:t>
      </w:r>
    </w:p>
    <w:p w:rsidR="00EF0DA0" w:rsidRPr="007A2C81" w:rsidRDefault="00EF0DA0" w:rsidP="00BE5623">
      <w:pPr>
        <w:rPr>
          <w:szCs w:val="24"/>
        </w:rPr>
      </w:pPr>
    </w:p>
    <w:p w:rsidR="00FA0A1B" w:rsidRPr="007A2C81" w:rsidRDefault="0014277C" w:rsidP="00BE5623">
      <w:pPr>
        <w:ind w:firstLine="720"/>
        <w:rPr>
          <w:rFonts w:cs="Times New Roman"/>
          <w:spacing w:val="-3"/>
          <w:szCs w:val="24"/>
        </w:rPr>
      </w:pPr>
      <w:r w:rsidRPr="007A2C81">
        <w:rPr>
          <w:szCs w:val="24"/>
        </w:rPr>
        <w:t xml:space="preserve">Ignorance and Error </w:t>
      </w:r>
      <w:r w:rsidR="00023B7F" w:rsidRPr="007A2C81">
        <w:rPr>
          <w:szCs w:val="24"/>
        </w:rPr>
        <w:t>reaches even to</w:t>
      </w:r>
      <w:r w:rsidRPr="007A2C81">
        <w:rPr>
          <w:szCs w:val="24"/>
        </w:rPr>
        <w:t xml:space="preserve"> Paul </w:t>
      </w:r>
      <w:proofErr w:type="spellStart"/>
      <w:r w:rsidRPr="007A2C81">
        <w:rPr>
          <w:szCs w:val="24"/>
        </w:rPr>
        <w:t>Horwich</w:t>
      </w:r>
      <w:r w:rsidR="00295CE0" w:rsidRPr="007A2C81">
        <w:rPr>
          <w:szCs w:val="24"/>
        </w:rPr>
        <w:t>’</w:t>
      </w:r>
      <w:r w:rsidRPr="007A2C81">
        <w:rPr>
          <w:szCs w:val="24"/>
        </w:rPr>
        <w:t>s</w:t>
      </w:r>
      <w:proofErr w:type="spellEnd"/>
      <w:r w:rsidRPr="007A2C81">
        <w:rPr>
          <w:szCs w:val="24"/>
        </w:rPr>
        <w:t xml:space="preserve"> “use theory of meaning”</w:t>
      </w:r>
      <w:r w:rsidR="00401A61" w:rsidRPr="007A2C81">
        <w:rPr>
          <w:szCs w:val="24"/>
        </w:rPr>
        <w:t xml:space="preserve"> (1998)</w:t>
      </w:r>
      <w:r w:rsidRPr="007A2C81">
        <w:rPr>
          <w:szCs w:val="24"/>
        </w:rPr>
        <w:t>, inspired by Wittgenstein.</w:t>
      </w:r>
      <w:r w:rsidR="002C4D45" w:rsidRPr="007A2C81">
        <w:rPr>
          <w:szCs w:val="24"/>
        </w:rPr>
        <w:t xml:space="preserve"> The very same arguments that</w:t>
      </w:r>
      <w:r w:rsidRPr="007A2C81">
        <w:rPr>
          <w:rFonts w:cs="Times New Roman"/>
          <w:spacing w:val="-3"/>
          <w:szCs w:val="24"/>
        </w:rPr>
        <w:t xml:space="preserve"> </w:t>
      </w:r>
      <w:r w:rsidR="002C4D45" w:rsidRPr="007A2C81">
        <w:rPr>
          <w:rFonts w:cs="Times New Roman"/>
          <w:spacing w:val="-3"/>
          <w:szCs w:val="24"/>
        </w:rPr>
        <w:t xml:space="preserve">show that </w:t>
      </w:r>
      <w:r w:rsidRPr="007A2C81">
        <w:rPr>
          <w:rFonts w:cs="Times New Roman"/>
          <w:spacing w:val="-3"/>
          <w:szCs w:val="24"/>
        </w:rPr>
        <w:t>competent</w:t>
      </w:r>
      <w:r w:rsidR="002C4D45" w:rsidRPr="007A2C81">
        <w:rPr>
          <w:rFonts w:cs="Times New Roman"/>
          <w:spacing w:val="-3"/>
          <w:szCs w:val="24"/>
        </w:rPr>
        <w:t xml:space="preserve"> users of many terms</w:t>
      </w:r>
      <w:r w:rsidRPr="007A2C81">
        <w:rPr>
          <w:rFonts w:cs="Times New Roman"/>
          <w:spacing w:val="-3"/>
          <w:szCs w:val="24"/>
        </w:rPr>
        <w:t xml:space="preserve"> are often ignorant or wrong about the referent </w:t>
      </w:r>
      <w:r w:rsidR="002C4D45" w:rsidRPr="007A2C81">
        <w:rPr>
          <w:rFonts w:cs="Times New Roman"/>
          <w:spacing w:val="-3"/>
          <w:szCs w:val="24"/>
        </w:rPr>
        <w:t>show that the uses of those terms vary greatly in the speech community.</w:t>
      </w:r>
      <w:r w:rsidRPr="007A2C81">
        <w:rPr>
          <w:rFonts w:cs="Times New Roman"/>
          <w:spacing w:val="-3"/>
          <w:szCs w:val="24"/>
        </w:rPr>
        <w:t xml:space="preserve"> Horwich neatly describes the problem for</w:t>
      </w:r>
      <w:r w:rsidR="00EF0DA0" w:rsidRPr="007A2C81">
        <w:rPr>
          <w:rFonts w:cs="Times New Roman"/>
          <w:spacing w:val="-3"/>
          <w:szCs w:val="24"/>
        </w:rPr>
        <w:t xml:space="preserve"> </w:t>
      </w:r>
      <w:r w:rsidR="00EA35B7" w:rsidRPr="007A2C81">
        <w:rPr>
          <w:rFonts w:cs="Times New Roman"/>
          <w:spacing w:val="-3"/>
          <w:szCs w:val="24"/>
        </w:rPr>
        <w:t>his</w:t>
      </w:r>
      <w:r w:rsidR="00EF0DA0" w:rsidRPr="007A2C81">
        <w:rPr>
          <w:rFonts w:cs="Times New Roman"/>
          <w:spacing w:val="-3"/>
          <w:szCs w:val="24"/>
        </w:rPr>
        <w:t xml:space="preserve"> use theory</w:t>
      </w:r>
      <w:r w:rsidRPr="007A2C81">
        <w:rPr>
          <w:rFonts w:cs="Times New Roman"/>
          <w:spacing w:val="-3"/>
          <w:szCs w:val="24"/>
        </w:rPr>
        <w:t>: “members of a linguistic community typically mean exactly the same as one another by a given word, even when t</w:t>
      </w:r>
      <w:r w:rsidR="00401A61" w:rsidRPr="007A2C81">
        <w:rPr>
          <w:rFonts w:cs="Times New Roman"/>
          <w:spacing w:val="-3"/>
          <w:szCs w:val="24"/>
        </w:rPr>
        <w:t>heir uses of it diverge” (pp.</w:t>
      </w:r>
      <w:r w:rsidRPr="007A2C81">
        <w:rPr>
          <w:rFonts w:cs="Times New Roman"/>
          <w:spacing w:val="-3"/>
          <w:szCs w:val="24"/>
        </w:rPr>
        <w:t xml:space="preserve"> 85-6).</w:t>
      </w:r>
      <w:r w:rsidR="00EF0DA0" w:rsidRPr="007A2C81">
        <w:rPr>
          <w:rFonts w:cs="Times New Roman"/>
          <w:spacing w:val="-3"/>
          <w:szCs w:val="24"/>
        </w:rPr>
        <w:t xml:space="preserve"> He has tried to solve the problem by appealing to “deference”</w:t>
      </w:r>
      <w:r w:rsidR="00401A61" w:rsidRPr="007A2C81">
        <w:rPr>
          <w:rFonts w:cs="Times New Roman"/>
          <w:spacing w:val="-3"/>
          <w:szCs w:val="24"/>
        </w:rPr>
        <w:t xml:space="preserve"> </w:t>
      </w:r>
      <w:r w:rsidR="00401A61" w:rsidRPr="007A2C81">
        <w:rPr>
          <w:rFonts w:cs="Times New Roman"/>
          <w:spacing w:val="-3"/>
          <w:szCs w:val="24"/>
        </w:rPr>
        <w:lastRenderedPageBreak/>
        <w:t>(1998, 2005, 2020)</w:t>
      </w:r>
      <w:r w:rsidR="00EF0DA0" w:rsidRPr="007A2C81">
        <w:rPr>
          <w:rFonts w:cs="Times New Roman"/>
          <w:spacing w:val="-3"/>
          <w:szCs w:val="24"/>
        </w:rPr>
        <w:t xml:space="preserve"> but, I have argued, this solution fails. Indeed, Ignorance and Error </w:t>
      </w:r>
      <w:r w:rsidR="00401A61" w:rsidRPr="007A2C81">
        <w:rPr>
          <w:rFonts w:cs="Times New Roman"/>
          <w:spacing w:val="-3"/>
          <w:szCs w:val="24"/>
        </w:rPr>
        <w:t>counts against the</w:t>
      </w:r>
      <w:r w:rsidR="00553425" w:rsidRPr="007A2C81">
        <w:rPr>
          <w:rFonts w:cs="Times New Roman"/>
          <w:spacing w:val="-3"/>
          <w:szCs w:val="24"/>
        </w:rPr>
        <w:t xml:space="preserve"> very</w:t>
      </w:r>
      <w:r w:rsidR="00401A61" w:rsidRPr="007A2C81">
        <w:rPr>
          <w:rFonts w:cs="Times New Roman"/>
          <w:spacing w:val="-3"/>
          <w:szCs w:val="24"/>
        </w:rPr>
        <w:t xml:space="preserve"> idea of a use theory of</w:t>
      </w:r>
      <w:r w:rsidR="00EF0DA0" w:rsidRPr="007A2C81">
        <w:rPr>
          <w:rFonts w:cs="Times New Roman"/>
          <w:spacing w:val="-3"/>
          <w:szCs w:val="24"/>
        </w:rPr>
        <w:t xml:space="preserve"> meaning</w:t>
      </w:r>
      <w:r w:rsidR="00553425" w:rsidRPr="007A2C81">
        <w:rPr>
          <w:rFonts w:cs="Times New Roman"/>
          <w:spacing w:val="-3"/>
          <w:szCs w:val="24"/>
        </w:rPr>
        <w:t xml:space="preserve"> (2002, 2011</w:t>
      </w:r>
      <w:r w:rsidR="004B6EDA">
        <w:rPr>
          <w:rFonts w:cs="Times New Roman"/>
          <w:spacing w:val="-3"/>
          <w:szCs w:val="24"/>
        </w:rPr>
        <w:t>a</w:t>
      </w:r>
      <w:r w:rsidR="00553425" w:rsidRPr="007A2C81">
        <w:rPr>
          <w:rFonts w:cs="Times New Roman"/>
          <w:spacing w:val="-3"/>
          <w:szCs w:val="24"/>
        </w:rPr>
        <w:t>, 2020</w:t>
      </w:r>
      <w:r w:rsidR="00551766">
        <w:rPr>
          <w:rFonts w:cs="Times New Roman"/>
          <w:spacing w:val="-3"/>
          <w:szCs w:val="24"/>
        </w:rPr>
        <w:t>: 19.3.5</w:t>
      </w:r>
      <w:r w:rsidR="00553425" w:rsidRPr="007A2C81">
        <w:rPr>
          <w:rFonts w:cs="Times New Roman"/>
          <w:spacing w:val="-3"/>
          <w:szCs w:val="24"/>
        </w:rPr>
        <w:t>)</w:t>
      </w:r>
      <w:r w:rsidR="00EF0DA0" w:rsidRPr="007A2C81">
        <w:rPr>
          <w:rFonts w:cs="Times New Roman"/>
          <w:spacing w:val="-3"/>
          <w:szCs w:val="24"/>
        </w:rPr>
        <w:t>.</w:t>
      </w:r>
    </w:p>
    <w:p w:rsidR="00FA0A1B" w:rsidRPr="007A2C81" w:rsidRDefault="00FA0A1B" w:rsidP="00D13095">
      <w:pPr>
        <w:rPr>
          <w:rFonts w:cs="Times New Roman"/>
          <w:spacing w:val="-3"/>
          <w:szCs w:val="24"/>
        </w:rPr>
      </w:pPr>
    </w:p>
    <w:p w:rsidR="00D13095" w:rsidRPr="007A2C81" w:rsidRDefault="00D13095" w:rsidP="00D13095">
      <w:pPr>
        <w:ind w:firstLine="720"/>
        <w:rPr>
          <w:rFonts w:cs="Times New Roman"/>
          <w:spacing w:val="-3"/>
          <w:szCs w:val="24"/>
        </w:rPr>
      </w:pPr>
      <w:r w:rsidRPr="007A2C81">
        <w:rPr>
          <w:szCs w:val="24"/>
        </w:rPr>
        <w:t>I have</w:t>
      </w:r>
      <w:r w:rsidR="00F215F7" w:rsidRPr="007A2C81">
        <w:rPr>
          <w:szCs w:val="24"/>
        </w:rPr>
        <w:t xml:space="preserve"> also used</w:t>
      </w:r>
      <w:r w:rsidRPr="007A2C81">
        <w:rPr>
          <w:szCs w:val="24"/>
        </w:rPr>
        <w:t xml:space="preserve"> Ignorance and Error</w:t>
      </w:r>
      <w:r w:rsidR="00F215F7" w:rsidRPr="007A2C81">
        <w:rPr>
          <w:szCs w:val="24"/>
        </w:rPr>
        <w:t xml:space="preserve"> (1985: 225-7)</w:t>
      </w:r>
      <w:r w:rsidRPr="007A2C81">
        <w:rPr>
          <w:szCs w:val="24"/>
        </w:rPr>
        <w:t xml:space="preserve"> against Gareth Evans’ “Russell’s Principle” (1982: 69-79), according to which to “think about an object, one must </w:t>
      </w:r>
      <w:r w:rsidRPr="007A2C81">
        <w:rPr>
          <w:i/>
          <w:szCs w:val="24"/>
        </w:rPr>
        <w:t>know which</w:t>
      </w:r>
      <w:r w:rsidRPr="007A2C81">
        <w:rPr>
          <w:szCs w:val="24"/>
        </w:rPr>
        <w:t xml:space="preserve"> object is in question (p. 65); and</w:t>
      </w:r>
      <w:r w:rsidR="00B93F99" w:rsidRPr="007A2C81">
        <w:rPr>
          <w:szCs w:val="24"/>
        </w:rPr>
        <w:t xml:space="preserve"> (2004: 297-303)</w:t>
      </w:r>
      <w:r w:rsidRPr="007A2C81">
        <w:rPr>
          <w:szCs w:val="24"/>
        </w:rPr>
        <w:t xml:space="preserve"> against </w:t>
      </w:r>
      <w:proofErr w:type="spellStart"/>
      <w:r w:rsidR="00B04F4B" w:rsidRPr="007A2C81">
        <w:rPr>
          <w:szCs w:val="24"/>
        </w:rPr>
        <w:t>Russellian</w:t>
      </w:r>
      <w:proofErr w:type="spellEnd"/>
      <w:r w:rsidR="00B04F4B" w:rsidRPr="007A2C81">
        <w:rPr>
          <w:szCs w:val="24"/>
        </w:rPr>
        <w:t xml:space="preserve"> attempts to handle “incomplete” definite descriptions</w:t>
      </w:r>
      <w:r w:rsidR="00A87294" w:rsidRPr="007A2C81">
        <w:rPr>
          <w:szCs w:val="24"/>
        </w:rPr>
        <w:t xml:space="preserve"> like ‘the table’.</w:t>
      </w:r>
      <w:r w:rsidR="00B04F4B" w:rsidRPr="007A2C81">
        <w:rPr>
          <w:szCs w:val="24"/>
        </w:rPr>
        <w:t xml:space="preserve"> </w:t>
      </w:r>
      <w:r w:rsidR="00F215F7" w:rsidRPr="007A2C81">
        <w:rPr>
          <w:szCs w:val="24"/>
        </w:rPr>
        <w:t xml:space="preserve">Furthermore, </w:t>
      </w:r>
      <w:r w:rsidR="00A87294" w:rsidRPr="007A2C81">
        <w:rPr>
          <w:szCs w:val="24"/>
        </w:rPr>
        <w:t>Ignorance and Error</w:t>
      </w:r>
      <w:r w:rsidR="00B04F4B" w:rsidRPr="007A2C81">
        <w:rPr>
          <w:szCs w:val="24"/>
        </w:rPr>
        <w:t xml:space="preserve"> is seriously detrimental to the </w:t>
      </w:r>
      <w:r w:rsidR="00B93F99" w:rsidRPr="007A2C81">
        <w:rPr>
          <w:szCs w:val="24"/>
        </w:rPr>
        <w:t xml:space="preserve">thriving </w:t>
      </w:r>
      <w:r w:rsidR="00B04F4B" w:rsidRPr="007A2C81">
        <w:rPr>
          <w:szCs w:val="24"/>
        </w:rPr>
        <w:t>field of “lexical semantics”, yet seems to have gone unnoticed there</w:t>
      </w:r>
      <w:r w:rsidR="009202E5">
        <w:rPr>
          <w:szCs w:val="24"/>
        </w:rPr>
        <w:t xml:space="preserve"> for fifty years</w:t>
      </w:r>
      <w:r w:rsidR="00B04F4B" w:rsidRPr="007A2C81">
        <w:rPr>
          <w:szCs w:val="24"/>
        </w:rPr>
        <w:t>.</w:t>
      </w:r>
      <w:r w:rsidR="00942D66" w:rsidRPr="007A2C81">
        <w:rPr>
          <w:rStyle w:val="FootnoteReference"/>
          <w:szCs w:val="24"/>
        </w:rPr>
        <w:footnoteReference w:id="11"/>
      </w:r>
      <w:r w:rsidR="00A87294" w:rsidRPr="007A2C81">
        <w:rPr>
          <w:szCs w:val="24"/>
        </w:rPr>
        <w:t xml:space="preserve"> Finally, in the face of Ignorance and Error</w:t>
      </w:r>
      <w:r w:rsidR="00942D66" w:rsidRPr="007A2C81">
        <w:rPr>
          <w:szCs w:val="24"/>
        </w:rPr>
        <w:t xml:space="preserve"> (and reference borrowing below)</w:t>
      </w:r>
      <w:r w:rsidR="00A87294" w:rsidRPr="007A2C81">
        <w:rPr>
          <w:szCs w:val="24"/>
        </w:rPr>
        <w:t xml:space="preserve">, it is </w:t>
      </w:r>
      <w:r w:rsidR="00942D66" w:rsidRPr="007A2C81">
        <w:rPr>
          <w:szCs w:val="24"/>
        </w:rPr>
        <w:t>time to abandon the still-</w:t>
      </w:r>
      <w:r w:rsidR="00A87294" w:rsidRPr="007A2C81">
        <w:rPr>
          <w:szCs w:val="24"/>
        </w:rPr>
        <w:t>common assumption that competent user</w:t>
      </w:r>
      <w:r w:rsidR="00942D66" w:rsidRPr="007A2C81">
        <w:rPr>
          <w:szCs w:val="24"/>
        </w:rPr>
        <w:t>s</w:t>
      </w:r>
      <w:r w:rsidR="00A87294" w:rsidRPr="007A2C81">
        <w:rPr>
          <w:szCs w:val="24"/>
        </w:rPr>
        <w:t xml:space="preserve"> of an expression must </w:t>
      </w:r>
      <w:r w:rsidR="00A87294" w:rsidRPr="007A2C81">
        <w:rPr>
          <w:i/>
          <w:szCs w:val="24"/>
        </w:rPr>
        <w:t>know about</w:t>
      </w:r>
      <w:r w:rsidR="00A87294" w:rsidRPr="007A2C81">
        <w:rPr>
          <w:szCs w:val="24"/>
        </w:rPr>
        <w:t xml:space="preserve"> its meaning.</w:t>
      </w:r>
      <w:r w:rsidR="00B04F4B" w:rsidRPr="007A2C81">
        <w:rPr>
          <w:szCs w:val="24"/>
        </w:rPr>
        <w:t xml:space="preserve"> </w:t>
      </w:r>
    </w:p>
    <w:p w:rsidR="00D13095" w:rsidRPr="007A2C81" w:rsidRDefault="00D13095" w:rsidP="00D13095">
      <w:pPr>
        <w:rPr>
          <w:rFonts w:cs="Times New Roman"/>
          <w:spacing w:val="-3"/>
          <w:szCs w:val="24"/>
        </w:rPr>
      </w:pPr>
    </w:p>
    <w:p w:rsidR="00FA0A1B" w:rsidRPr="007A2C81" w:rsidRDefault="00EA3B36" w:rsidP="00BE5623">
      <w:pPr>
        <w:rPr>
          <w:b/>
          <w:szCs w:val="24"/>
        </w:rPr>
      </w:pPr>
      <w:r w:rsidRPr="007A2C81">
        <w:rPr>
          <w:b/>
          <w:szCs w:val="24"/>
        </w:rPr>
        <w:t>3</w:t>
      </w:r>
      <w:r w:rsidR="00743298" w:rsidRPr="007A2C81">
        <w:rPr>
          <w:b/>
          <w:szCs w:val="24"/>
        </w:rPr>
        <w:t>.</w:t>
      </w:r>
      <w:r w:rsidR="00E56825" w:rsidRPr="007A2C81">
        <w:rPr>
          <w:b/>
          <w:szCs w:val="24"/>
        </w:rPr>
        <w:t xml:space="preserve"> The Causal-Historical “Picture”</w:t>
      </w:r>
    </w:p>
    <w:p w:rsidR="00FA0A1B" w:rsidRPr="007A2C81" w:rsidRDefault="00FA0A1B" w:rsidP="00BE5623">
      <w:pPr>
        <w:rPr>
          <w:szCs w:val="24"/>
        </w:rPr>
      </w:pPr>
    </w:p>
    <w:p w:rsidR="00FA0A1B" w:rsidRPr="007A2C81" w:rsidRDefault="00553425" w:rsidP="00BE5623">
      <w:pPr>
        <w:rPr>
          <w:szCs w:val="24"/>
        </w:rPr>
      </w:pPr>
      <w:r w:rsidRPr="007A2C81">
        <w:rPr>
          <w:szCs w:val="24"/>
        </w:rPr>
        <w:t>“</w:t>
      </w:r>
      <w:r w:rsidR="00FA0A1B" w:rsidRPr="007A2C81">
        <w:rPr>
          <w:szCs w:val="24"/>
        </w:rPr>
        <w:t>Deference</w:t>
      </w:r>
      <w:r w:rsidRPr="007A2C81">
        <w:rPr>
          <w:szCs w:val="24"/>
        </w:rPr>
        <w:t>”, as Horwich and many others understand it,</w:t>
      </w:r>
      <w:r w:rsidR="00FA0A1B" w:rsidRPr="007A2C81">
        <w:rPr>
          <w:szCs w:val="24"/>
        </w:rPr>
        <w:t xml:space="preserve"> is a bastardized version of </w:t>
      </w:r>
      <w:proofErr w:type="spellStart"/>
      <w:r w:rsidR="00FA0A1B" w:rsidRPr="007A2C81">
        <w:rPr>
          <w:szCs w:val="24"/>
        </w:rPr>
        <w:t>Kripke</w:t>
      </w:r>
      <w:r w:rsidR="00295CE0" w:rsidRPr="007A2C81">
        <w:rPr>
          <w:szCs w:val="24"/>
        </w:rPr>
        <w:t>’</w:t>
      </w:r>
      <w:r w:rsidR="00FA0A1B" w:rsidRPr="007A2C81">
        <w:rPr>
          <w:szCs w:val="24"/>
        </w:rPr>
        <w:t>s</w:t>
      </w:r>
      <w:proofErr w:type="spellEnd"/>
      <w:r w:rsidR="00FA0A1B" w:rsidRPr="007A2C81">
        <w:rPr>
          <w:szCs w:val="24"/>
        </w:rPr>
        <w:t xml:space="preserve"> other enormous contribution to the theory of language:</w:t>
      </w:r>
      <w:r w:rsidR="00E56825" w:rsidRPr="007A2C81">
        <w:rPr>
          <w:szCs w:val="24"/>
        </w:rPr>
        <w:t xml:space="preserve"> his positive theory of</w:t>
      </w:r>
      <w:r w:rsidR="00FA0A1B" w:rsidRPr="007A2C81">
        <w:rPr>
          <w:szCs w:val="24"/>
        </w:rPr>
        <w:t xml:space="preserve"> reference borrowing</w:t>
      </w:r>
      <w:r w:rsidRPr="007A2C81">
        <w:rPr>
          <w:szCs w:val="24"/>
        </w:rPr>
        <w:t xml:space="preserve">. How can people </w:t>
      </w:r>
      <w:r w:rsidR="00C82151" w:rsidRPr="007A2C81">
        <w:rPr>
          <w:szCs w:val="24"/>
        </w:rPr>
        <w:t xml:space="preserve">who are </w:t>
      </w:r>
      <w:r w:rsidRPr="007A2C81">
        <w:rPr>
          <w:szCs w:val="24"/>
        </w:rPr>
        <w:t>so ignora</w:t>
      </w:r>
      <w:r w:rsidR="009273A0" w:rsidRPr="007A2C81">
        <w:rPr>
          <w:szCs w:val="24"/>
        </w:rPr>
        <w:t>nt and wrong about the reference</w:t>
      </w:r>
      <w:r w:rsidRPr="007A2C81">
        <w:rPr>
          <w:szCs w:val="24"/>
        </w:rPr>
        <w:t xml:space="preserve"> of names</w:t>
      </w:r>
      <w:r w:rsidR="00E95A36" w:rsidRPr="007A2C81">
        <w:rPr>
          <w:szCs w:val="24"/>
        </w:rPr>
        <w:t>,</w:t>
      </w:r>
      <w:r w:rsidRPr="007A2C81">
        <w:rPr>
          <w:szCs w:val="24"/>
        </w:rPr>
        <w:t xml:space="preserve"> and perhaps </w:t>
      </w:r>
      <w:r w:rsidR="00354E50" w:rsidRPr="007A2C81">
        <w:rPr>
          <w:szCs w:val="24"/>
        </w:rPr>
        <w:t>many other terms</w:t>
      </w:r>
      <w:r w:rsidR="00E95A36" w:rsidRPr="007A2C81">
        <w:rPr>
          <w:szCs w:val="24"/>
        </w:rPr>
        <w:t>,</w:t>
      </w:r>
      <w:r w:rsidR="00354E50" w:rsidRPr="007A2C81">
        <w:rPr>
          <w:szCs w:val="24"/>
        </w:rPr>
        <w:t xml:space="preserve"> nonetheless suc</w:t>
      </w:r>
      <w:r w:rsidRPr="007A2C81">
        <w:rPr>
          <w:szCs w:val="24"/>
        </w:rPr>
        <w:t>ceed in using them to refer?</w:t>
      </w:r>
      <w:r w:rsidR="00354E50" w:rsidRPr="007A2C81">
        <w:rPr>
          <w:szCs w:val="24"/>
        </w:rPr>
        <w:t xml:space="preserve"> Kripke provided a large part of the answer:</w:t>
      </w:r>
      <w:r w:rsidR="00FA0A1B" w:rsidRPr="007A2C81">
        <w:rPr>
          <w:szCs w:val="24"/>
        </w:rPr>
        <w:t xml:space="preserve"> people “borrow” the reference of </w:t>
      </w:r>
      <w:r w:rsidR="009273A0" w:rsidRPr="007A2C81">
        <w:rPr>
          <w:szCs w:val="24"/>
        </w:rPr>
        <w:t>the</w:t>
      </w:r>
      <w:r w:rsidR="00FA0A1B" w:rsidRPr="007A2C81">
        <w:rPr>
          <w:szCs w:val="24"/>
        </w:rPr>
        <w:t xml:space="preserve"> terms in communication situation</w:t>
      </w:r>
      <w:r w:rsidR="00906A2B" w:rsidRPr="007A2C81">
        <w:rPr>
          <w:szCs w:val="24"/>
        </w:rPr>
        <w:t>s</w:t>
      </w:r>
      <w:r w:rsidR="00EA3B36" w:rsidRPr="007A2C81">
        <w:rPr>
          <w:szCs w:val="24"/>
        </w:rPr>
        <w:t xml:space="preserve">; reference determination is a </w:t>
      </w:r>
      <w:r w:rsidR="00EA3B36" w:rsidRPr="007A2C81">
        <w:rPr>
          <w:i/>
          <w:szCs w:val="24"/>
        </w:rPr>
        <w:t xml:space="preserve">social </w:t>
      </w:r>
      <w:r w:rsidR="00906A2B" w:rsidRPr="007A2C81">
        <w:rPr>
          <w:i/>
          <w:szCs w:val="24"/>
        </w:rPr>
        <w:t>rather than individual</w:t>
      </w:r>
      <w:r w:rsidR="00906A2B" w:rsidRPr="007A2C81">
        <w:rPr>
          <w:szCs w:val="24"/>
        </w:rPr>
        <w:t xml:space="preserve"> </w:t>
      </w:r>
      <w:r w:rsidR="00EA3B36" w:rsidRPr="007A2C81">
        <w:rPr>
          <w:szCs w:val="24"/>
        </w:rPr>
        <w:t>matter</w:t>
      </w:r>
      <w:r w:rsidR="009273A0" w:rsidRPr="007A2C81">
        <w:rPr>
          <w:szCs w:val="24"/>
        </w:rPr>
        <w:t xml:space="preserve">. And borrowing is </w:t>
      </w:r>
      <w:r w:rsidR="00FA0A1B" w:rsidRPr="007A2C81">
        <w:rPr>
          <w:szCs w:val="24"/>
        </w:rPr>
        <w:t xml:space="preserve">an </w:t>
      </w:r>
      <w:proofErr w:type="spellStart"/>
      <w:r w:rsidR="00FA0A1B" w:rsidRPr="007A2C81">
        <w:rPr>
          <w:szCs w:val="24"/>
        </w:rPr>
        <w:t>epistemically</w:t>
      </w:r>
      <w:proofErr w:type="spellEnd"/>
      <w:r w:rsidR="00FA0A1B" w:rsidRPr="007A2C81">
        <w:rPr>
          <w:szCs w:val="24"/>
        </w:rPr>
        <w:t xml:space="preserve"> undemanding</w:t>
      </w:r>
      <w:r w:rsidR="009273A0" w:rsidRPr="007A2C81">
        <w:rPr>
          <w:szCs w:val="24"/>
        </w:rPr>
        <w:t xml:space="preserve"> causal process</w:t>
      </w:r>
      <w:r w:rsidR="00FA0A1B" w:rsidRPr="007A2C81">
        <w:rPr>
          <w:szCs w:val="24"/>
        </w:rPr>
        <w:t xml:space="preserve"> that does not require any capacity to identify the referent. This radical idea is the crux of </w:t>
      </w:r>
      <w:proofErr w:type="spellStart"/>
      <w:r w:rsidR="00FA0A1B" w:rsidRPr="007A2C81">
        <w:rPr>
          <w:szCs w:val="24"/>
        </w:rPr>
        <w:t>Kripke</w:t>
      </w:r>
      <w:r w:rsidR="00295CE0" w:rsidRPr="007A2C81">
        <w:rPr>
          <w:szCs w:val="24"/>
        </w:rPr>
        <w:t>’</w:t>
      </w:r>
      <w:r w:rsidR="00FA0A1B" w:rsidRPr="007A2C81">
        <w:rPr>
          <w:szCs w:val="24"/>
        </w:rPr>
        <w:t>s</w:t>
      </w:r>
      <w:proofErr w:type="spellEnd"/>
      <w:r w:rsidR="00FA0A1B" w:rsidRPr="007A2C81">
        <w:rPr>
          <w:szCs w:val="24"/>
        </w:rPr>
        <w:t xml:space="preserve"> “better</w:t>
      </w:r>
      <w:r w:rsidR="00354E50" w:rsidRPr="007A2C81">
        <w:rPr>
          <w:szCs w:val="24"/>
        </w:rPr>
        <w:t xml:space="preserve"> picture” of reference (</w:t>
      </w:r>
      <w:r w:rsidR="00FA0A1B" w:rsidRPr="007A2C81">
        <w:rPr>
          <w:szCs w:val="24"/>
        </w:rPr>
        <w:t>94).</w:t>
      </w:r>
    </w:p>
    <w:p w:rsidR="00FA0A1B" w:rsidRPr="007A2C81" w:rsidRDefault="00FA0A1B" w:rsidP="00BE5623">
      <w:pPr>
        <w:rPr>
          <w:szCs w:val="24"/>
        </w:rPr>
      </w:pPr>
    </w:p>
    <w:p w:rsidR="00000B15" w:rsidRPr="007A2C81" w:rsidRDefault="00000B15" w:rsidP="00BE5623">
      <w:pPr>
        <w:ind w:firstLine="720"/>
        <w:rPr>
          <w:rFonts w:eastAsia="Calibri"/>
          <w:szCs w:val="24"/>
        </w:rPr>
      </w:pPr>
      <w:r w:rsidRPr="007A2C81">
        <w:rPr>
          <w:szCs w:val="24"/>
        </w:rPr>
        <w:t xml:space="preserve">The bastardized version, deference, arose from a common misunderstanding of </w:t>
      </w:r>
      <w:proofErr w:type="spellStart"/>
      <w:r w:rsidRPr="007A2C81">
        <w:rPr>
          <w:szCs w:val="24"/>
        </w:rPr>
        <w:t>Kripke</w:t>
      </w:r>
      <w:r w:rsidR="00295CE0" w:rsidRPr="007A2C81">
        <w:rPr>
          <w:szCs w:val="24"/>
        </w:rPr>
        <w:t>’</w:t>
      </w:r>
      <w:r w:rsidRPr="007A2C81">
        <w:rPr>
          <w:szCs w:val="24"/>
        </w:rPr>
        <w:t>s</w:t>
      </w:r>
      <w:proofErr w:type="spellEnd"/>
      <w:r w:rsidRPr="007A2C81">
        <w:rPr>
          <w:szCs w:val="24"/>
        </w:rPr>
        <w:t xml:space="preserve"> proposal. Kripke claims </w:t>
      </w:r>
      <w:r w:rsidRPr="007A2C81">
        <w:rPr>
          <w:rFonts w:eastAsia="Calibri"/>
          <w:szCs w:val="24"/>
        </w:rPr>
        <w:t xml:space="preserve">that a person in borrowing a name “must…intend when he learns it to use it with the same reference” (96). So Kripke is saying that a borrower must </w:t>
      </w:r>
      <w:r w:rsidRPr="007A2C81">
        <w:rPr>
          <w:rFonts w:eastAsia="Calibri"/>
          <w:i/>
          <w:szCs w:val="24"/>
        </w:rPr>
        <w:t>at the time of borrowing</w:t>
      </w:r>
      <w:r w:rsidRPr="007A2C81">
        <w:rPr>
          <w:rFonts w:eastAsia="Calibri"/>
          <w:szCs w:val="24"/>
        </w:rPr>
        <w:t xml:space="preserve"> intend to use the name with the same reference as the lender.</w:t>
      </w:r>
      <w:r w:rsidR="00E95A36" w:rsidRPr="007A2C81">
        <w:rPr>
          <w:rStyle w:val="FootnoteReference"/>
          <w:rFonts w:eastAsia="Calibri"/>
          <w:szCs w:val="24"/>
        </w:rPr>
        <w:footnoteReference w:id="12"/>
      </w:r>
      <w:r w:rsidRPr="007A2C81">
        <w:rPr>
          <w:rFonts w:eastAsia="Calibri"/>
          <w:szCs w:val="24"/>
        </w:rPr>
        <w:t xml:space="preserve"> Yet this</w:t>
      </w:r>
      <w:r w:rsidR="009273A0" w:rsidRPr="007A2C81">
        <w:rPr>
          <w:rFonts w:eastAsia="Calibri"/>
          <w:szCs w:val="24"/>
        </w:rPr>
        <w:t xml:space="preserve"> claim</w:t>
      </w:r>
      <w:r w:rsidRPr="007A2C81">
        <w:rPr>
          <w:rFonts w:eastAsia="Calibri"/>
          <w:szCs w:val="24"/>
        </w:rPr>
        <w:t xml:space="preserve"> is standardly misunderstood as requiring that the borrower, </w:t>
      </w:r>
      <w:r w:rsidRPr="007A2C81">
        <w:rPr>
          <w:rFonts w:eastAsia="Calibri"/>
          <w:i/>
          <w:szCs w:val="24"/>
        </w:rPr>
        <w:t>whenever using the name thereafter</w:t>
      </w:r>
      <w:r w:rsidRPr="007A2C81">
        <w:rPr>
          <w:rFonts w:eastAsia="Calibri"/>
          <w:szCs w:val="24"/>
        </w:rPr>
        <w:t>, must intend to use it with the same reference as the lender</w:t>
      </w:r>
      <w:r w:rsidR="005D3BFC" w:rsidRPr="007A2C81">
        <w:rPr>
          <w:rFonts w:eastAsia="Calibri"/>
          <w:szCs w:val="24"/>
        </w:rPr>
        <w:t>. Thus,</w:t>
      </w:r>
      <w:r w:rsidRPr="007A2C81">
        <w:rPr>
          <w:rFonts w:eastAsia="Calibri"/>
          <w:szCs w:val="24"/>
        </w:rPr>
        <w:t xml:space="preserve"> John Searle (1983: 234) quotes </w:t>
      </w:r>
      <w:proofErr w:type="spellStart"/>
      <w:r w:rsidRPr="007A2C81">
        <w:rPr>
          <w:rFonts w:eastAsia="Calibri"/>
          <w:szCs w:val="24"/>
        </w:rPr>
        <w:t>Kripke</w:t>
      </w:r>
      <w:r w:rsidR="00295CE0" w:rsidRPr="007A2C81">
        <w:rPr>
          <w:rFonts w:eastAsia="Calibri"/>
          <w:szCs w:val="24"/>
        </w:rPr>
        <w:t>’</w:t>
      </w:r>
      <w:r w:rsidRPr="007A2C81">
        <w:rPr>
          <w:rFonts w:eastAsia="Calibri"/>
          <w:szCs w:val="24"/>
        </w:rPr>
        <w:t>s</w:t>
      </w:r>
      <w:proofErr w:type="spellEnd"/>
      <w:r w:rsidRPr="007A2C81">
        <w:rPr>
          <w:rFonts w:eastAsia="Calibri"/>
          <w:szCs w:val="24"/>
        </w:rPr>
        <w:t xml:space="preserve"> claim but then</w:t>
      </w:r>
      <w:r w:rsidR="00C82151" w:rsidRPr="007A2C81">
        <w:rPr>
          <w:rFonts w:eastAsia="Calibri"/>
          <w:szCs w:val="24"/>
        </w:rPr>
        <w:t xml:space="preserve"> immediately mis</w:t>
      </w:r>
      <w:r w:rsidRPr="007A2C81">
        <w:rPr>
          <w:rFonts w:eastAsia="Calibri"/>
          <w:szCs w:val="24"/>
        </w:rPr>
        <w:t>interprets it as follows:</w:t>
      </w:r>
    </w:p>
    <w:p w:rsidR="00000B15" w:rsidRPr="007A2C81" w:rsidRDefault="00000B15" w:rsidP="00BE5623">
      <w:pPr>
        <w:tabs>
          <w:tab w:val="left" w:pos="-720"/>
        </w:tabs>
        <w:suppressAutoHyphens/>
        <w:spacing w:line="240" w:lineRule="atLeast"/>
        <w:rPr>
          <w:rFonts w:eastAsia="Calibri"/>
          <w:szCs w:val="24"/>
        </w:rPr>
      </w:pPr>
    </w:p>
    <w:p w:rsidR="00000B15" w:rsidRPr="007A2C81" w:rsidRDefault="00000B15" w:rsidP="00BE5623">
      <w:pPr>
        <w:tabs>
          <w:tab w:val="left" w:pos="-720"/>
        </w:tabs>
        <w:suppressAutoHyphens/>
        <w:spacing w:line="240" w:lineRule="atLeast"/>
        <w:ind w:left="720"/>
        <w:rPr>
          <w:rFonts w:eastAsia="Calibri"/>
          <w:szCs w:val="24"/>
        </w:rPr>
      </w:pPr>
      <w:r w:rsidRPr="007A2C81">
        <w:rPr>
          <w:rFonts w:eastAsia="Calibri"/>
          <w:szCs w:val="24"/>
        </w:rPr>
        <w:t>each speaker must intend to refer to the same object as the person from whom he learned the name. So this does give us some Intentional content associated with each use of a name “</w:t>
      </w:r>
      <w:r w:rsidRPr="007A2C81">
        <w:rPr>
          <w:rFonts w:eastAsia="Calibri"/>
          <w:i/>
          <w:szCs w:val="24"/>
        </w:rPr>
        <w:t>N</w:t>
      </w:r>
      <w:r w:rsidRPr="007A2C81">
        <w:rPr>
          <w:rFonts w:eastAsia="Calibri"/>
          <w:szCs w:val="24"/>
        </w:rPr>
        <w:t>” in the causal chain, viz., “</w:t>
      </w:r>
      <w:r w:rsidRPr="007A2C81">
        <w:rPr>
          <w:rFonts w:eastAsia="Calibri"/>
          <w:i/>
          <w:szCs w:val="24"/>
        </w:rPr>
        <w:t>N</w:t>
      </w:r>
      <w:r w:rsidRPr="007A2C81">
        <w:rPr>
          <w:rFonts w:eastAsia="Calibri"/>
          <w:szCs w:val="24"/>
        </w:rPr>
        <w:t xml:space="preserve"> is the object referred to by the person from whom I got the name”. (pp. 235-36)</w:t>
      </w:r>
    </w:p>
    <w:p w:rsidR="00000B15" w:rsidRPr="007A2C81" w:rsidRDefault="00000B15" w:rsidP="00BE5623">
      <w:pPr>
        <w:tabs>
          <w:tab w:val="left" w:pos="-720"/>
        </w:tabs>
        <w:suppressAutoHyphens/>
        <w:spacing w:line="240" w:lineRule="atLeast"/>
        <w:rPr>
          <w:rFonts w:eastAsia="Calibri"/>
          <w:szCs w:val="24"/>
        </w:rPr>
      </w:pPr>
    </w:p>
    <w:p w:rsidR="00000B15" w:rsidRDefault="00000B15" w:rsidP="00BE5623">
      <w:pPr>
        <w:tabs>
          <w:tab w:val="left" w:pos="-720"/>
        </w:tabs>
        <w:suppressAutoHyphens/>
        <w:spacing w:line="240" w:lineRule="atLeast"/>
        <w:rPr>
          <w:rFonts w:eastAsia="Calibri"/>
          <w:szCs w:val="24"/>
        </w:rPr>
      </w:pPr>
      <w:r w:rsidRPr="007A2C81">
        <w:rPr>
          <w:rFonts w:eastAsia="Calibri"/>
          <w:szCs w:val="24"/>
        </w:rPr>
        <w:t xml:space="preserve">So Searle takes Kripke to require a speaker, </w:t>
      </w:r>
      <w:r w:rsidRPr="007A2C81">
        <w:rPr>
          <w:rFonts w:eastAsia="Calibri"/>
          <w:i/>
          <w:szCs w:val="24"/>
        </w:rPr>
        <w:t>at the time of using</w:t>
      </w:r>
      <w:r w:rsidRPr="007A2C81">
        <w:rPr>
          <w:rFonts w:eastAsia="Calibri"/>
          <w:szCs w:val="24"/>
        </w:rPr>
        <w:t xml:space="preserve"> a name, to have an intention d</w:t>
      </w:r>
      <w:r w:rsidR="005D3BFC" w:rsidRPr="007A2C81">
        <w:rPr>
          <w:rFonts w:eastAsia="Calibri"/>
          <w:szCs w:val="24"/>
        </w:rPr>
        <w:t>irected at the reference lender,</w:t>
      </w:r>
      <w:r w:rsidRPr="007A2C81">
        <w:rPr>
          <w:rStyle w:val="FootnoteReference"/>
          <w:rFonts w:eastAsia="Calibri"/>
          <w:szCs w:val="24"/>
        </w:rPr>
        <w:footnoteReference w:id="13"/>
      </w:r>
      <w:r w:rsidR="005D3BFC" w:rsidRPr="007A2C81">
        <w:rPr>
          <w:rFonts w:eastAsia="Calibri"/>
          <w:szCs w:val="24"/>
        </w:rPr>
        <w:t xml:space="preserve"> </w:t>
      </w:r>
      <w:r w:rsidR="00C66C36" w:rsidRPr="007A2C81">
        <w:rPr>
          <w:rFonts w:eastAsia="Calibri"/>
          <w:szCs w:val="24"/>
        </w:rPr>
        <w:t>And that is</w:t>
      </w:r>
      <w:r w:rsidR="000A424A" w:rsidRPr="007A2C81">
        <w:rPr>
          <w:rFonts w:eastAsia="Calibri"/>
          <w:szCs w:val="24"/>
        </w:rPr>
        <w:t xml:space="preserve"> what</w:t>
      </w:r>
      <w:r w:rsidR="009273A0" w:rsidRPr="007A2C81">
        <w:rPr>
          <w:rFonts w:eastAsia="Calibri"/>
          <w:szCs w:val="24"/>
        </w:rPr>
        <w:t xml:space="preserve"> people typically have in</w:t>
      </w:r>
      <w:r w:rsidR="000A424A" w:rsidRPr="007A2C81">
        <w:rPr>
          <w:rFonts w:eastAsia="Calibri"/>
          <w:szCs w:val="24"/>
        </w:rPr>
        <w:t xml:space="preserve"> mind in talking of the speaker</w:t>
      </w:r>
      <w:r w:rsidR="005D3BFC" w:rsidRPr="007A2C81">
        <w:rPr>
          <w:rFonts w:eastAsia="Calibri"/>
          <w:szCs w:val="24"/>
        </w:rPr>
        <w:t xml:space="preserve"> “deferring” to the lender.</w:t>
      </w:r>
      <w:r w:rsidRPr="007A2C81">
        <w:rPr>
          <w:rFonts w:eastAsia="Calibri"/>
          <w:szCs w:val="24"/>
        </w:rPr>
        <w:t xml:space="preserve"> But Kripke does not require such a “backward-looking” </w:t>
      </w:r>
      <w:r w:rsidRPr="007A2C81">
        <w:rPr>
          <w:rFonts w:eastAsia="Calibri"/>
          <w:szCs w:val="24"/>
        </w:rPr>
        <w:lastRenderedPageBreak/>
        <w:t xml:space="preserve">intention at the time of use. Indeed, such a requirement is quite alien to his discussion and the contrast he draws between his and </w:t>
      </w:r>
      <w:proofErr w:type="spellStart"/>
      <w:r w:rsidRPr="007A2C81">
        <w:rPr>
          <w:rFonts w:eastAsia="Calibri"/>
          <w:szCs w:val="24"/>
        </w:rPr>
        <w:t>Strawson</w:t>
      </w:r>
      <w:r w:rsidR="00295CE0" w:rsidRPr="007A2C81">
        <w:rPr>
          <w:rFonts w:eastAsia="Calibri"/>
          <w:szCs w:val="24"/>
        </w:rPr>
        <w:t>’</w:t>
      </w:r>
      <w:r w:rsidRPr="007A2C81">
        <w:rPr>
          <w:rFonts w:eastAsia="Calibri"/>
          <w:szCs w:val="24"/>
        </w:rPr>
        <w:t>s</w:t>
      </w:r>
      <w:proofErr w:type="spellEnd"/>
      <w:r w:rsidR="00F16548">
        <w:rPr>
          <w:rFonts w:eastAsia="Calibri"/>
          <w:szCs w:val="24"/>
        </w:rPr>
        <w:t xml:space="preserve"> (1959)</w:t>
      </w:r>
      <w:r w:rsidRPr="007A2C81">
        <w:rPr>
          <w:rFonts w:eastAsia="Calibri"/>
          <w:szCs w:val="24"/>
        </w:rPr>
        <w:t xml:space="preserve"> </w:t>
      </w:r>
      <w:r w:rsidRPr="007A2C81">
        <w:rPr>
          <w:rFonts w:eastAsia="Calibri"/>
          <w:i/>
          <w:szCs w:val="24"/>
        </w:rPr>
        <w:t>description</w:t>
      </w:r>
      <w:r w:rsidRPr="007A2C81">
        <w:rPr>
          <w:rFonts w:eastAsia="Calibri"/>
          <w:szCs w:val="24"/>
        </w:rPr>
        <w:t xml:space="preserve"> theory of reference borrowing. </w:t>
      </w:r>
      <w:proofErr w:type="spellStart"/>
      <w:r w:rsidRPr="007A2C81">
        <w:rPr>
          <w:rFonts w:eastAsia="Calibri"/>
          <w:szCs w:val="24"/>
        </w:rPr>
        <w:t>Strawson</w:t>
      </w:r>
      <w:r w:rsidR="00295CE0" w:rsidRPr="007A2C81">
        <w:rPr>
          <w:rFonts w:eastAsia="Calibri"/>
          <w:szCs w:val="24"/>
        </w:rPr>
        <w:t>’</w:t>
      </w:r>
      <w:r w:rsidRPr="007A2C81">
        <w:rPr>
          <w:rFonts w:eastAsia="Calibri"/>
          <w:szCs w:val="24"/>
        </w:rPr>
        <w:t>s</w:t>
      </w:r>
      <w:proofErr w:type="spellEnd"/>
      <w:r w:rsidRPr="007A2C81">
        <w:rPr>
          <w:rFonts w:eastAsia="Calibri"/>
          <w:szCs w:val="24"/>
        </w:rPr>
        <w:t xml:space="preserve"> theory fails precisely </w:t>
      </w:r>
      <w:r w:rsidRPr="007A2C81">
        <w:rPr>
          <w:rFonts w:eastAsia="Calibri"/>
          <w:i/>
          <w:szCs w:val="24"/>
        </w:rPr>
        <w:t>because</w:t>
      </w:r>
      <w:r w:rsidRPr="007A2C81">
        <w:rPr>
          <w:rFonts w:eastAsia="Calibri"/>
          <w:szCs w:val="24"/>
        </w:rPr>
        <w:t xml:space="preserve"> it requires competent users of names to have knowledge of reference lenders (92-93).</w:t>
      </w:r>
      <w:r w:rsidRPr="007A2C81">
        <w:rPr>
          <w:rStyle w:val="FootnoteReference"/>
          <w:rFonts w:eastAsia="Calibri"/>
          <w:szCs w:val="24"/>
        </w:rPr>
        <w:footnoteReference w:id="14"/>
      </w:r>
    </w:p>
    <w:p w:rsidR="00C32196" w:rsidRPr="007A2C81" w:rsidRDefault="00C32196" w:rsidP="00BE5623">
      <w:pPr>
        <w:tabs>
          <w:tab w:val="left" w:pos="-720"/>
        </w:tabs>
        <w:suppressAutoHyphens/>
        <w:spacing w:line="240" w:lineRule="atLeast"/>
        <w:rPr>
          <w:rFonts w:eastAsia="Calibri"/>
          <w:szCs w:val="24"/>
        </w:rPr>
      </w:pPr>
    </w:p>
    <w:p w:rsidR="002A46E5" w:rsidRPr="007A2C81" w:rsidRDefault="008411D8" w:rsidP="008411D8">
      <w:pPr>
        <w:ind w:firstLine="720"/>
        <w:rPr>
          <w:rFonts w:eastAsia="Calibri"/>
          <w:szCs w:val="24"/>
        </w:rPr>
      </w:pPr>
      <w:r>
        <w:rPr>
          <w:rFonts w:eastAsia="Calibri"/>
          <w:szCs w:val="24"/>
        </w:rPr>
        <w:t>The</w:t>
      </w:r>
      <w:r w:rsidR="002A46E5" w:rsidRPr="007A2C81">
        <w:rPr>
          <w:rFonts w:eastAsia="Calibri"/>
          <w:szCs w:val="24"/>
        </w:rPr>
        <w:t xml:space="preserve"> successful use of a name that has been acquired by reference borrowing is</w:t>
      </w:r>
      <w:r>
        <w:rPr>
          <w:rFonts w:eastAsia="Calibri"/>
          <w:szCs w:val="24"/>
        </w:rPr>
        <w:t xml:space="preserve"> a use that is</w:t>
      </w:r>
      <w:r w:rsidR="002A46E5" w:rsidRPr="007A2C81">
        <w:rPr>
          <w:rFonts w:eastAsia="Calibri"/>
          <w:szCs w:val="24"/>
        </w:rPr>
        <w:t xml:space="preserve"> caused by an ability with that name that is, </w:t>
      </w:r>
      <w:r w:rsidR="002A46E5" w:rsidRPr="007A2C81">
        <w:rPr>
          <w:rFonts w:eastAsia="Calibri"/>
          <w:i/>
          <w:szCs w:val="24"/>
        </w:rPr>
        <w:t>as a matter of fact</w:t>
      </w:r>
      <w:r w:rsidR="002A46E5" w:rsidRPr="007A2C81">
        <w:rPr>
          <w:rFonts w:eastAsia="Calibri"/>
          <w:szCs w:val="24"/>
        </w:rPr>
        <w:t xml:space="preserve">, grounded in the bearer via that borrowing: </w:t>
      </w:r>
      <w:r w:rsidR="002A46E5" w:rsidRPr="007A2C81">
        <w:rPr>
          <w:rFonts w:eastAsia="Calibri"/>
          <w:i/>
          <w:szCs w:val="24"/>
        </w:rPr>
        <w:t>the efficacious ability must have the right sort of causal history</w:t>
      </w:r>
      <w:r w:rsidR="002A46E5" w:rsidRPr="007A2C81">
        <w:rPr>
          <w:rFonts w:eastAsia="Calibri"/>
          <w:szCs w:val="24"/>
        </w:rPr>
        <w:t>.</w:t>
      </w:r>
      <w:r>
        <w:rPr>
          <w:rFonts w:eastAsia="Calibri"/>
          <w:szCs w:val="24"/>
        </w:rPr>
        <w:t xml:space="preserve"> </w:t>
      </w:r>
      <w:r w:rsidR="002A46E5" w:rsidRPr="007A2C81">
        <w:rPr>
          <w:rFonts w:eastAsia="Calibri"/>
          <w:szCs w:val="24"/>
        </w:rPr>
        <w:t xml:space="preserve">That is all that is required. Contrary to what Thomas Blackburn (1988: 184) claims we need not require a borrower to recognize or acknowledge this history. And contrary to what </w:t>
      </w:r>
      <w:proofErr w:type="spellStart"/>
      <w:r w:rsidR="002A46E5" w:rsidRPr="007A2C81">
        <w:rPr>
          <w:rFonts w:eastAsia="Calibri"/>
          <w:szCs w:val="24"/>
        </w:rPr>
        <w:t>Adèle</w:t>
      </w:r>
      <w:proofErr w:type="spellEnd"/>
      <w:r w:rsidR="002A46E5" w:rsidRPr="007A2C81">
        <w:rPr>
          <w:rFonts w:eastAsia="Calibri"/>
          <w:szCs w:val="24"/>
        </w:rPr>
        <w:t xml:space="preserve"> Mercier (1999)</w:t>
      </w:r>
      <w:r w:rsidR="002B59AE" w:rsidRPr="007A2C81">
        <w:rPr>
          <w:rFonts w:eastAsia="Calibri"/>
          <w:szCs w:val="24"/>
        </w:rPr>
        <w:t xml:space="preserve"> claims</w:t>
      </w:r>
      <w:r w:rsidR="002A46E5" w:rsidRPr="007A2C81">
        <w:rPr>
          <w:rFonts w:eastAsia="Calibri"/>
          <w:szCs w:val="24"/>
        </w:rPr>
        <w:t>, we need not require that a borrower</w:t>
      </w:r>
      <w:r w:rsidR="00295CE0" w:rsidRPr="007A2C81">
        <w:rPr>
          <w:rFonts w:eastAsia="Calibri"/>
          <w:szCs w:val="24"/>
        </w:rPr>
        <w:t>’</w:t>
      </w:r>
      <w:r w:rsidR="002A46E5" w:rsidRPr="007A2C81">
        <w:rPr>
          <w:rFonts w:eastAsia="Calibri"/>
          <w:szCs w:val="24"/>
        </w:rPr>
        <w:t xml:space="preserve">s successful use of a name be </w:t>
      </w:r>
      <w:r w:rsidR="00D24A32" w:rsidRPr="007A2C81">
        <w:rPr>
          <w:rFonts w:eastAsia="Calibri"/>
          <w:szCs w:val="24"/>
        </w:rPr>
        <w:t>accompanied by an intention to defer</w:t>
      </w:r>
      <w:r w:rsidR="002A46E5" w:rsidRPr="007A2C81">
        <w:rPr>
          <w:rFonts w:eastAsia="Calibri"/>
          <w:szCs w:val="24"/>
        </w:rPr>
        <w:t>.</w:t>
      </w:r>
      <w:r w:rsidR="00C82151" w:rsidRPr="007A2C81">
        <w:rPr>
          <w:rStyle w:val="FootnoteReference"/>
          <w:rFonts w:eastAsia="Calibri"/>
          <w:szCs w:val="24"/>
        </w:rPr>
        <w:footnoteReference w:id="15"/>
      </w:r>
      <w:r w:rsidR="002A46E5" w:rsidRPr="007A2C81">
        <w:rPr>
          <w:rFonts w:eastAsia="Calibri"/>
          <w:szCs w:val="24"/>
        </w:rPr>
        <w:t xml:space="preserve"> The speaker exploits an ability that is, </w:t>
      </w:r>
      <w:r w:rsidR="002A46E5" w:rsidRPr="007A2C81">
        <w:rPr>
          <w:rFonts w:eastAsia="Calibri"/>
          <w:i/>
          <w:szCs w:val="24"/>
        </w:rPr>
        <w:t>as a matter of fact</w:t>
      </w:r>
      <w:r w:rsidR="002A46E5" w:rsidRPr="007A2C81">
        <w:rPr>
          <w:rFonts w:eastAsia="Calibri"/>
          <w:szCs w:val="24"/>
        </w:rPr>
        <w:t xml:space="preserve">, borrowed but the speaker need not defer to the lender. Indeed, the speaker need not know who the lender was or even that she </w:t>
      </w:r>
      <w:r w:rsidR="002A46E5" w:rsidRPr="007A2C81">
        <w:rPr>
          <w:rFonts w:eastAsia="Calibri"/>
          <w:i/>
          <w:szCs w:val="24"/>
        </w:rPr>
        <w:t>has</w:t>
      </w:r>
      <w:r w:rsidR="002A46E5" w:rsidRPr="007A2C81">
        <w:rPr>
          <w:rFonts w:eastAsia="Calibri"/>
          <w:szCs w:val="24"/>
        </w:rPr>
        <w:t xml:space="preserve"> borrowed the name</w:t>
      </w:r>
      <w:r w:rsidR="005D3BFC" w:rsidRPr="007A2C81">
        <w:rPr>
          <w:rFonts w:eastAsia="Calibri"/>
          <w:szCs w:val="24"/>
        </w:rPr>
        <w:t>.</w:t>
      </w:r>
      <w:r w:rsidR="005D3BFC" w:rsidRPr="007A2C81">
        <w:rPr>
          <w:rStyle w:val="FootnoteReference"/>
          <w:rFonts w:eastAsia="Calibri"/>
          <w:szCs w:val="24"/>
        </w:rPr>
        <w:footnoteReference w:id="16"/>
      </w:r>
    </w:p>
    <w:p w:rsidR="00FA0A1B" w:rsidRPr="007A2C81" w:rsidRDefault="00FA0A1B" w:rsidP="00BE5623">
      <w:pPr>
        <w:rPr>
          <w:szCs w:val="24"/>
        </w:rPr>
      </w:pPr>
    </w:p>
    <w:p w:rsidR="00FA0A1B" w:rsidRPr="007A2C81" w:rsidRDefault="00FA0A1B" w:rsidP="00BE5623">
      <w:pPr>
        <w:rPr>
          <w:szCs w:val="24"/>
        </w:rPr>
      </w:pPr>
      <w:r w:rsidRPr="007A2C81">
        <w:rPr>
          <w:szCs w:val="24"/>
        </w:rPr>
        <w:tab/>
        <w:t xml:space="preserve">Just how extensive is reference borrowing? Kripke took it to be a feature not only of names but of “natural” kind terms. And Putnam went even further with his “division of </w:t>
      </w:r>
      <w:r w:rsidR="00905D4E" w:rsidRPr="007A2C81">
        <w:rPr>
          <w:szCs w:val="24"/>
        </w:rPr>
        <w:t xml:space="preserve">linguistic </w:t>
      </w:r>
      <w:r w:rsidRPr="007A2C81">
        <w:rPr>
          <w:szCs w:val="24"/>
        </w:rPr>
        <w:t xml:space="preserve">labor” (1973, 1975). Raatikainen believes that “any sort of term can be borrowed”, even </w:t>
      </w:r>
      <w:r w:rsidR="00295CE0" w:rsidRPr="007A2C81">
        <w:rPr>
          <w:szCs w:val="24"/>
        </w:rPr>
        <w:t>‘</w:t>
      </w:r>
      <w:r w:rsidRPr="007A2C81">
        <w:rPr>
          <w:szCs w:val="24"/>
        </w:rPr>
        <w:t>bachelor</w:t>
      </w:r>
      <w:r w:rsidR="00295CE0" w:rsidRPr="007A2C81">
        <w:rPr>
          <w:szCs w:val="24"/>
        </w:rPr>
        <w:t>’</w:t>
      </w:r>
      <w:r w:rsidRPr="007A2C81">
        <w:rPr>
          <w:szCs w:val="24"/>
        </w:rPr>
        <w:t xml:space="preserve"> (</w:t>
      </w:r>
      <w:r w:rsidR="00E04BFC" w:rsidRPr="007A2C81">
        <w:rPr>
          <w:szCs w:val="24"/>
        </w:rPr>
        <w:t xml:space="preserve">2020: </w:t>
      </w:r>
      <w:r w:rsidRPr="007A2C81">
        <w:rPr>
          <w:szCs w:val="24"/>
        </w:rPr>
        <w:t>##10</w:t>
      </w:r>
      <w:r w:rsidR="00E04BFC" w:rsidRPr="007A2C81">
        <w:rPr>
          <w:szCs w:val="24"/>
        </w:rPr>
        <w:t>-11</w:t>
      </w:r>
      <w:r w:rsidRPr="007A2C81">
        <w:rPr>
          <w:szCs w:val="24"/>
        </w:rPr>
        <w:t>). I wonder. Consider “</w:t>
      </w:r>
      <w:proofErr w:type="spellStart"/>
      <w:r w:rsidRPr="007A2C81">
        <w:rPr>
          <w:szCs w:val="24"/>
        </w:rPr>
        <w:t>artifactual</w:t>
      </w:r>
      <w:proofErr w:type="spellEnd"/>
      <w:r w:rsidRPr="007A2C81">
        <w:rPr>
          <w:szCs w:val="24"/>
        </w:rPr>
        <w:t xml:space="preserve">” kind terms. It does seem plausible that terms like </w:t>
      </w:r>
      <w:r w:rsidR="00295CE0" w:rsidRPr="007A2C81">
        <w:rPr>
          <w:szCs w:val="24"/>
        </w:rPr>
        <w:t>‘</w:t>
      </w:r>
      <w:r w:rsidRPr="007A2C81">
        <w:rPr>
          <w:szCs w:val="24"/>
        </w:rPr>
        <w:t>sloop</w:t>
      </w:r>
      <w:r w:rsidR="00295CE0" w:rsidRPr="007A2C81">
        <w:rPr>
          <w:szCs w:val="24"/>
        </w:rPr>
        <w:t>’</w:t>
      </w:r>
      <w:r w:rsidRPr="007A2C81">
        <w:rPr>
          <w:szCs w:val="24"/>
        </w:rPr>
        <w:t xml:space="preserve"> and </w:t>
      </w:r>
      <w:r w:rsidR="00295CE0" w:rsidRPr="007A2C81">
        <w:rPr>
          <w:szCs w:val="24"/>
        </w:rPr>
        <w:t>‘</w:t>
      </w:r>
      <w:r w:rsidRPr="007A2C81">
        <w:rPr>
          <w:szCs w:val="24"/>
        </w:rPr>
        <w:t>dagger</w:t>
      </w:r>
      <w:r w:rsidR="00295CE0" w:rsidRPr="007A2C81">
        <w:rPr>
          <w:szCs w:val="24"/>
        </w:rPr>
        <w:t>’</w:t>
      </w:r>
      <w:r w:rsidRPr="007A2C81">
        <w:rPr>
          <w:szCs w:val="24"/>
        </w:rPr>
        <w:t xml:space="preserve"> can be borrowed. But if so, are they, like proper names, covered by a “pure-causal” theory of borrowing? Sterelny and I pointed out that maybe not (1999: 93-101): although you can gain </w:t>
      </w:r>
      <w:r w:rsidR="00295CE0" w:rsidRPr="007A2C81">
        <w:rPr>
          <w:szCs w:val="24"/>
        </w:rPr>
        <w:t>‘</w:t>
      </w:r>
      <w:r w:rsidRPr="007A2C81">
        <w:rPr>
          <w:szCs w:val="24"/>
        </w:rPr>
        <w:t>sloop</w:t>
      </w:r>
      <w:r w:rsidR="00295CE0" w:rsidRPr="007A2C81">
        <w:rPr>
          <w:szCs w:val="24"/>
        </w:rPr>
        <w:t>’</w:t>
      </w:r>
      <w:r w:rsidRPr="007A2C81">
        <w:rPr>
          <w:szCs w:val="24"/>
        </w:rPr>
        <w:t xml:space="preserve"> without associating it with </w:t>
      </w:r>
      <w:r w:rsidR="00295CE0" w:rsidRPr="007A2C81">
        <w:rPr>
          <w:szCs w:val="24"/>
        </w:rPr>
        <w:t>‘</w:t>
      </w:r>
      <w:r w:rsidRPr="007A2C81">
        <w:rPr>
          <w:szCs w:val="24"/>
        </w:rPr>
        <w:t>boat having a single mast with a mainsail and jib</w:t>
      </w:r>
      <w:r w:rsidR="00295CE0" w:rsidRPr="007A2C81">
        <w:rPr>
          <w:szCs w:val="24"/>
        </w:rPr>
        <w:t>’</w:t>
      </w:r>
      <w:r w:rsidRPr="007A2C81">
        <w:rPr>
          <w:szCs w:val="24"/>
        </w:rPr>
        <w:t xml:space="preserve">, maybe you cannot gain it without associating it with </w:t>
      </w:r>
      <w:r w:rsidR="00295CE0" w:rsidRPr="007A2C81">
        <w:rPr>
          <w:szCs w:val="24"/>
        </w:rPr>
        <w:t>‘</w:t>
      </w:r>
      <w:r w:rsidRPr="007A2C81">
        <w:rPr>
          <w:szCs w:val="24"/>
        </w:rPr>
        <w:t>boat</w:t>
      </w:r>
      <w:r w:rsidR="00295CE0" w:rsidRPr="007A2C81">
        <w:rPr>
          <w:szCs w:val="24"/>
        </w:rPr>
        <w:t>’</w:t>
      </w:r>
      <w:r w:rsidRPr="007A2C81">
        <w:rPr>
          <w:szCs w:val="24"/>
        </w:rPr>
        <w:t>. And what about the more basic “</w:t>
      </w:r>
      <w:proofErr w:type="spellStart"/>
      <w:r w:rsidRPr="007A2C81">
        <w:rPr>
          <w:szCs w:val="24"/>
        </w:rPr>
        <w:t>artifactual</w:t>
      </w:r>
      <w:proofErr w:type="spellEnd"/>
      <w:r w:rsidRPr="007A2C81">
        <w:rPr>
          <w:szCs w:val="24"/>
        </w:rPr>
        <w:t xml:space="preserve">” terms </w:t>
      </w:r>
      <w:r w:rsidR="00295CE0" w:rsidRPr="007A2C81">
        <w:rPr>
          <w:szCs w:val="24"/>
        </w:rPr>
        <w:t>‘</w:t>
      </w:r>
      <w:r w:rsidRPr="007A2C81">
        <w:rPr>
          <w:szCs w:val="24"/>
        </w:rPr>
        <w:t>boat</w:t>
      </w:r>
      <w:r w:rsidR="00295CE0" w:rsidRPr="007A2C81">
        <w:rPr>
          <w:szCs w:val="24"/>
        </w:rPr>
        <w:t>’</w:t>
      </w:r>
      <w:r w:rsidRPr="007A2C81">
        <w:rPr>
          <w:szCs w:val="24"/>
        </w:rPr>
        <w:t xml:space="preserve"> and </w:t>
      </w:r>
      <w:r w:rsidR="00295CE0" w:rsidRPr="007A2C81">
        <w:rPr>
          <w:szCs w:val="24"/>
        </w:rPr>
        <w:t>‘</w:t>
      </w:r>
      <w:r w:rsidRPr="007A2C81">
        <w:rPr>
          <w:szCs w:val="24"/>
        </w:rPr>
        <w:t>weapon</w:t>
      </w:r>
      <w:r w:rsidR="00295CE0" w:rsidRPr="007A2C81">
        <w:rPr>
          <w:szCs w:val="24"/>
        </w:rPr>
        <w:t>’</w:t>
      </w:r>
      <w:r w:rsidRPr="007A2C81">
        <w:rPr>
          <w:szCs w:val="24"/>
        </w:rPr>
        <w:t xml:space="preserve">? Is it really plausible that they can be borrowed? The first problem with these questions is that we do not have strong intuitions. The second problem is that here, more than anywhere in the theory of reference, we need the </w:t>
      </w:r>
      <w:r w:rsidRPr="007A2C81">
        <w:rPr>
          <w:szCs w:val="24"/>
        </w:rPr>
        <w:lastRenderedPageBreak/>
        <w:t>support of more than intuitions. We</w:t>
      </w:r>
      <w:r w:rsidR="003431DC" w:rsidRPr="007A2C81">
        <w:rPr>
          <w:szCs w:val="24"/>
        </w:rPr>
        <w:t xml:space="preserve"> need evidence from usage (2011</w:t>
      </w:r>
      <w:r w:rsidR="004B6EDA">
        <w:rPr>
          <w:szCs w:val="24"/>
        </w:rPr>
        <w:t>b</w:t>
      </w:r>
      <w:r w:rsidR="003431DC" w:rsidRPr="007A2C81">
        <w:rPr>
          <w:szCs w:val="24"/>
        </w:rPr>
        <w:t>, 2012</w:t>
      </w:r>
      <w:proofErr w:type="gramStart"/>
      <w:r w:rsidR="003431DC" w:rsidRPr="007A2C81">
        <w:rPr>
          <w:szCs w:val="24"/>
        </w:rPr>
        <w:t>a,b</w:t>
      </w:r>
      <w:proofErr w:type="gramEnd"/>
      <w:r w:rsidR="003431DC" w:rsidRPr="007A2C81">
        <w:rPr>
          <w:szCs w:val="24"/>
        </w:rPr>
        <w:t>)</w:t>
      </w:r>
      <w:r w:rsidRPr="007A2C81">
        <w:rPr>
          <w:szCs w:val="24"/>
        </w:rPr>
        <w:t xml:space="preserve">. </w:t>
      </w:r>
      <w:r w:rsidR="000A424A" w:rsidRPr="007A2C81">
        <w:rPr>
          <w:szCs w:val="24"/>
        </w:rPr>
        <w:t>One wonders what Kripke thinks of that.</w:t>
      </w:r>
      <w:r w:rsidR="000819F3" w:rsidRPr="007A2C81">
        <w:rPr>
          <w:rStyle w:val="FootnoteReference"/>
          <w:szCs w:val="24"/>
        </w:rPr>
        <w:footnoteReference w:id="17"/>
      </w:r>
    </w:p>
    <w:p w:rsidR="00E56825" w:rsidRPr="007A2C81" w:rsidRDefault="00E56825" w:rsidP="00BE5623">
      <w:pPr>
        <w:pStyle w:val="FootnoteText"/>
        <w:rPr>
          <w:sz w:val="24"/>
          <w:szCs w:val="24"/>
        </w:rPr>
      </w:pPr>
    </w:p>
    <w:p w:rsidR="002A4DE9" w:rsidRPr="007A2C81" w:rsidRDefault="000917F3" w:rsidP="00E56825">
      <w:pPr>
        <w:pStyle w:val="FootnoteText"/>
        <w:ind w:firstLine="720"/>
        <w:rPr>
          <w:sz w:val="24"/>
          <w:szCs w:val="24"/>
        </w:rPr>
      </w:pPr>
      <w:r w:rsidRPr="007A2C81">
        <w:rPr>
          <w:sz w:val="24"/>
          <w:szCs w:val="24"/>
        </w:rPr>
        <w:t>As a result of reference borrowing we can all succeed in designating Aristotle with his name in virtue of a chain of reference borrowings that takes us back to the original users who fixed the name</w:t>
      </w:r>
      <w:r w:rsidR="00295CE0" w:rsidRPr="007A2C81">
        <w:rPr>
          <w:sz w:val="24"/>
          <w:szCs w:val="24"/>
        </w:rPr>
        <w:t>’</w:t>
      </w:r>
      <w:r w:rsidRPr="007A2C81">
        <w:rPr>
          <w:sz w:val="24"/>
          <w:szCs w:val="24"/>
        </w:rPr>
        <w:t>s reference in Aristotle. But how did the original users do that?</w:t>
      </w:r>
      <w:r w:rsidR="00E56825" w:rsidRPr="007A2C81">
        <w:rPr>
          <w:sz w:val="24"/>
          <w:szCs w:val="24"/>
        </w:rPr>
        <w:t xml:space="preserve"> How was reference fixed in the first place? </w:t>
      </w:r>
      <w:r w:rsidRPr="007A2C81">
        <w:rPr>
          <w:sz w:val="24"/>
          <w:szCs w:val="24"/>
        </w:rPr>
        <w:t xml:space="preserve"> </w:t>
      </w:r>
      <w:r w:rsidR="002A4DE9" w:rsidRPr="007A2C81">
        <w:rPr>
          <w:sz w:val="24"/>
          <w:szCs w:val="24"/>
        </w:rPr>
        <w:t>Kripke did not say much about this in his 1967 lectures but he seemed</w:t>
      </w:r>
      <w:r w:rsidR="00E51524" w:rsidRPr="007A2C81">
        <w:rPr>
          <w:sz w:val="24"/>
          <w:szCs w:val="24"/>
        </w:rPr>
        <w:t xml:space="preserve"> to be favorably disposed to a description theory of some sort</w:t>
      </w:r>
      <w:r w:rsidR="002A4DE9" w:rsidRPr="007A2C81">
        <w:rPr>
          <w:sz w:val="24"/>
          <w:szCs w:val="24"/>
        </w:rPr>
        <w:t>: a person fixes the reference in an object by a description of the object in a dubbing.</w:t>
      </w:r>
      <w:r w:rsidRPr="007A2C81">
        <w:rPr>
          <w:sz w:val="24"/>
          <w:szCs w:val="24"/>
        </w:rPr>
        <w:t xml:space="preserve"> Howard </w:t>
      </w:r>
      <w:proofErr w:type="spellStart"/>
      <w:r w:rsidRPr="007A2C81">
        <w:rPr>
          <w:sz w:val="24"/>
          <w:szCs w:val="24"/>
        </w:rPr>
        <w:t>Wettstein</w:t>
      </w:r>
      <w:proofErr w:type="spellEnd"/>
      <w:r w:rsidRPr="007A2C81">
        <w:rPr>
          <w:sz w:val="24"/>
          <w:szCs w:val="24"/>
        </w:rPr>
        <w:t xml:space="preserve"> thinks this was </w:t>
      </w:r>
      <w:proofErr w:type="spellStart"/>
      <w:r w:rsidR="008F2C57" w:rsidRPr="007A2C81">
        <w:rPr>
          <w:sz w:val="24"/>
          <w:szCs w:val="24"/>
        </w:rPr>
        <w:t>Kripke</w:t>
      </w:r>
      <w:r w:rsidR="00295CE0" w:rsidRPr="007A2C81">
        <w:rPr>
          <w:sz w:val="24"/>
          <w:szCs w:val="24"/>
        </w:rPr>
        <w:t>’</w:t>
      </w:r>
      <w:r w:rsidR="008F2C57" w:rsidRPr="007A2C81">
        <w:rPr>
          <w:sz w:val="24"/>
          <w:szCs w:val="24"/>
        </w:rPr>
        <w:t>s</w:t>
      </w:r>
      <w:proofErr w:type="spellEnd"/>
      <w:r w:rsidRPr="007A2C81">
        <w:rPr>
          <w:sz w:val="24"/>
          <w:szCs w:val="24"/>
        </w:rPr>
        <w:t xml:space="preserve"> “paradigm” (2012: 115).</w:t>
      </w:r>
      <w:r w:rsidR="002A4DE9" w:rsidRPr="007A2C81">
        <w:rPr>
          <w:rStyle w:val="FootnoteReference"/>
          <w:sz w:val="24"/>
          <w:szCs w:val="24"/>
        </w:rPr>
        <w:footnoteReference w:id="18"/>
      </w:r>
      <w:r w:rsidR="008F2C57" w:rsidRPr="007A2C81">
        <w:rPr>
          <w:sz w:val="24"/>
          <w:szCs w:val="24"/>
        </w:rPr>
        <w:t xml:space="preserve"> I</w:t>
      </w:r>
      <w:r w:rsidR="002A4DE9" w:rsidRPr="007A2C81">
        <w:rPr>
          <w:sz w:val="24"/>
          <w:szCs w:val="24"/>
        </w:rPr>
        <w:t xml:space="preserve">n </w:t>
      </w:r>
      <w:r w:rsidR="00743298" w:rsidRPr="007A2C81">
        <w:rPr>
          <w:sz w:val="24"/>
          <w:szCs w:val="24"/>
        </w:rPr>
        <w:t>his book</w:t>
      </w:r>
      <w:r w:rsidR="002A4DE9" w:rsidRPr="007A2C81">
        <w:rPr>
          <w:sz w:val="24"/>
          <w:szCs w:val="24"/>
        </w:rPr>
        <w:t>,</w:t>
      </w:r>
      <w:r w:rsidR="008F2C57" w:rsidRPr="007A2C81">
        <w:rPr>
          <w:sz w:val="24"/>
          <w:szCs w:val="24"/>
        </w:rPr>
        <w:t xml:space="preserve"> Kripke</w:t>
      </w:r>
      <w:r w:rsidR="002A4DE9" w:rsidRPr="007A2C81">
        <w:rPr>
          <w:sz w:val="24"/>
          <w:szCs w:val="24"/>
        </w:rPr>
        <w:t xml:space="preserve"> talks of “fixing a reference by de</w:t>
      </w:r>
      <w:r w:rsidR="00743298" w:rsidRPr="007A2C81">
        <w:rPr>
          <w:sz w:val="24"/>
          <w:szCs w:val="24"/>
        </w:rPr>
        <w:t xml:space="preserve">scription, or </w:t>
      </w:r>
      <w:proofErr w:type="spellStart"/>
      <w:r w:rsidR="00743298" w:rsidRPr="007A2C81">
        <w:rPr>
          <w:sz w:val="24"/>
          <w:szCs w:val="24"/>
        </w:rPr>
        <w:t>ostension</w:t>
      </w:r>
      <w:proofErr w:type="spellEnd"/>
      <w:r w:rsidR="00743298" w:rsidRPr="007A2C81">
        <w:rPr>
          <w:sz w:val="24"/>
          <w:szCs w:val="24"/>
        </w:rPr>
        <w:t>” (</w:t>
      </w:r>
      <w:r w:rsidR="002A4DE9" w:rsidRPr="007A2C81">
        <w:rPr>
          <w:sz w:val="24"/>
          <w:szCs w:val="24"/>
        </w:rPr>
        <w:t>97)</w:t>
      </w:r>
      <w:r w:rsidR="001F6D91" w:rsidRPr="007A2C81">
        <w:rPr>
          <w:sz w:val="24"/>
          <w:szCs w:val="24"/>
        </w:rPr>
        <w:t xml:space="preserve">, but </w:t>
      </w:r>
      <w:r w:rsidR="008F2C57" w:rsidRPr="007A2C81">
        <w:rPr>
          <w:sz w:val="24"/>
          <w:szCs w:val="24"/>
        </w:rPr>
        <w:t xml:space="preserve">does not offer an account of </w:t>
      </w:r>
      <w:proofErr w:type="spellStart"/>
      <w:r w:rsidR="008F2C57" w:rsidRPr="007A2C81">
        <w:rPr>
          <w:sz w:val="24"/>
          <w:szCs w:val="24"/>
        </w:rPr>
        <w:t>ostension</w:t>
      </w:r>
      <w:proofErr w:type="spellEnd"/>
      <w:r w:rsidR="002A4DE9" w:rsidRPr="007A2C81">
        <w:rPr>
          <w:sz w:val="24"/>
          <w:szCs w:val="24"/>
        </w:rPr>
        <w:t xml:space="preserve">. </w:t>
      </w:r>
      <w:r w:rsidR="006A5855" w:rsidRPr="007A2C81">
        <w:rPr>
          <w:sz w:val="24"/>
          <w:szCs w:val="24"/>
        </w:rPr>
        <w:t xml:space="preserve">Set aside “descriptive names” like </w:t>
      </w:r>
      <w:r w:rsidR="00295CE0" w:rsidRPr="007A2C81">
        <w:rPr>
          <w:sz w:val="24"/>
          <w:szCs w:val="24"/>
        </w:rPr>
        <w:t>‘</w:t>
      </w:r>
      <w:r w:rsidR="006A5855" w:rsidRPr="007A2C81">
        <w:rPr>
          <w:sz w:val="24"/>
          <w:szCs w:val="24"/>
        </w:rPr>
        <w:t>Jack the Ripper</w:t>
      </w:r>
      <w:r w:rsidR="00295CE0" w:rsidRPr="007A2C81">
        <w:rPr>
          <w:sz w:val="24"/>
          <w:szCs w:val="24"/>
        </w:rPr>
        <w:t>’</w:t>
      </w:r>
      <w:r w:rsidR="006A5855" w:rsidRPr="007A2C81">
        <w:rPr>
          <w:rStyle w:val="FootnoteReference"/>
          <w:sz w:val="24"/>
          <w:szCs w:val="24"/>
        </w:rPr>
        <w:footnoteReference w:id="19"/>
      </w:r>
      <w:r w:rsidR="006A5855" w:rsidRPr="007A2C81">
        <w:rPr>
          <w:sz w:val="24"/>
          <w:szCs w:val="24"/>
        </w:rPr>
        <w:t xml:space="preserve"> and consider </w:t>
      </w:r>
      <w:r w:rsidR="008F2C57" w:rsidRPr="007A2C81">
        <w:rPr>
          <w:i/>
          <w:sz w:val="24"/>
          <w:szCs w:val="24"/>
        </w:rPr>
        <w:t>paradigm</w:t>
      </w:r>
      <w:r w:rsidR="008F2C57" w:rsidRPr="007A2C81">
        <w:rPr>
          <w:sz w:val="24"/>
          <w:szCs w:val="24"/>
        </w:rPr>
        <w:t xml:space="preserve"> names like </w:t>
      </w:r>
      <w:r w:rsidR="00295CE0" w:rsidRPr="007A2C81">
        <w:rPr>
          <w:sz w:val="24"/>
          <w:szCs w:val="24"/>
        </w:rPr>
        <w:t>‘</w:t>
      </w:r>
      <w:r w:rsidR="008F2C57" w:rsidRPr="007A2C81">
        <w:rPr>
          <w:sz w:val="24"/>
          <w:szCs w:val="24"/>
        </w:rPr>
        <w:t>Aristotle</w:t>
      </w:r>
      <w:r w:rsidR="00295CE0" w:rsidRPr="007A2C81">
        <w:rPr>
          <w:sz w:val="24"/>
          <w:szCs w:val="24"/>
        </w:rPr>
        <w:t>’</w:t>
      </w:r>
      <w:r w:rsidR="00E04BFC" w:rsidRPr="007A2C81">
        <w:rPr>
          <w:sz w:val="24"/>
          <w:szCs w:val="24"/>
        </w:rPr>
        <w:t>.</w:t>
      </w:r>
      <w:r w:rsidR="008F2C57" w:rsidRPr="007A2C81">
        <w:rPr>
          <w:sz w:val="24"/>
          <w:szCs w:val="24"/>
        </w:rPr>
        <w:t xml:space="preserve"> </w:t>
      </w:r>
      <w:r w:rsidR="006A5855" w:rsidRPr="007A2C81">
        <w:rPr>
          <w:sz w:val="24"/>
          <w:szCs w:val="24"/>
        </w:rPr>
        <w:t xml:space="preserve">In my view, </w:t>
      </w:r>
      <w:r w:rsidR="00E51524" w:rsidRPr="007A2C81">
        <w:rPr>
          <w:sz w:val="24"/>
          <w:szCs w:val="24"/>
        </w:rPr>
        <w:t>the</w:t>
      </w:r>
      <w:r w:rsidR="006A5855" w:rsidRPr="007A2C81">
        <w:rPr>
          <w:sz w:val="24"/>
          <w:szCs w:val="24"/>
        </w:rPr>
        <w:t xml:space="preserve"> reference</w:t>
      </w:r>
      <w:r w:rsidR="002A4DE9" w:rsidRPr="007A2C81">
        <w:rPr>
          <w:sz w:val="24"/>
          <w:szCs w:val="24"/>
        </w:rPr>
        <w:t xml:space="preserve"> of</w:t>
      </w:r>
      <w:r w:rsidR="004B4365" w:rsidRPr="007A2C81">
        <w:rPr>
          <w:sz w:val="24"/>
          <w:szCs w:val="24"/>
        </w:rPr>
        <w:t xml:space="preserve"> a paradigm</w:t>
      </w:r>
      <w:r w:rsidR="002A4DE9" w:rsidRPr="007A2C81">
        <w:rPr>
          <w:sz w:val="24"/>
          <w:szCs w:val="24"/>
        </w:rPr>
        <w:t xml:space="preserve"> name is fixed in </w:t>
      </w:r>
      <w:r w:rsidR="004B4365" w:rsidRPr="007A2C81">
        <w:rPr>
          <w:sz w:val="24"/>
          <w:szCs w:val="24"/>
        </w:rPr>
        <w:t>an</w:t>
      </w:r>
      <w:r w:rsidR="002A4DE9" w:rsidRPr="007A2C81">
        <w:rPr>
          <w:sz w:val="24"/>
          <w:szCs w:val="24"/>
        </w:rPr>
        <w:t xml:space="preserve"> object, directly or indirectly, by the causal link between a person and that object when it is the focus of that person</w:t>
      </w:r>
      <w:r w:rsidR="00295CE0" w:rsidRPr="007A2C81">
        <w:rPr>
          <w:sz w:val="24"/>
          <w:szCs w:val="24"/>
        </w:rPr>
        <w:t>’</w:t>
      </w:r>
      <w:r w:rsidR="002A4DE9" w:rsidRPr="007A2C81">
        <w:rPr>
          <w:sz w:val="24"/>
          <w:szCs w:val="24"/>
        </w:rPr>
        <w:t>s perception.</w:t>
      </w:r>
      <w:r w:rsidR="00291612" w:rsidRPr="007A2C81">
        <w:rPr>
          <w:rStyle w:val="FootnoteReference"/>
          <w:sz w:val="24"/>
          <w:szCs w:val="24"/>
        </w:rPr>
        <w:footnoteReference w:id="20"/>
      </w:r>
      <w:r w:rsidR="002A4DE9" w:rsidRPr="007A2C81">
        <w:rPr>
          <w:sz w:val="24"/>
          <w:szCs w:val="24"/>
        </w:rPr>
        <w:t xml:space="preserve"> This is what I call a “grounding”</w:t>
      </w:r>
      <w:r w:rsidR="00743298" w:rsidRPr="007A2C81">
        <w:rPr>
          <w:sz w:val="24"/>
          <w:szCs w:val="24"/>
        </w:rPr>
        <w:t xml:space="preserve"> and was central to my attempt to “naturalize” reference</w:t>
      </w:r>
      <w:r w:rsidR="009A13A1" w:rsidRPr="007A2C81">
        <w:rPr>
          <w:sz w:val="24"/>
          <w:szCs w:val="24"/>
        </w:rPr>
        <w:t xml:space="preserve"> (1974, 1981a, 2015)</w:t>
      </w:r>
      <w:r w:rsidR="002A4DE9" w:rsidRPr="007A2C81">
        <w:rPr>
          <w:sz w:val="24"/>
          <w:szCs w:val="24"/>
        </w:rPr>
        <w:t>.</w:t>
      </w:r>
      <w:r w:rsidR="002D21FA" w:rsidRPr="007A2C81">
        <w:rPr>
          <w:rStyle w:val="FootnoteReference"/>
          <w:sz w:val="24"/>
          <w:szCs w:val="24"/>
        </w:rPr>
        <w:footnoteReference w:id="21"/>
      </w:r>
      <w:r w:rsidR="002A4DE9" w:rsidRPr="007A2C81">
        <w:rPr>
          <w:sz w:val="24"/>
          <w:szCs w:val="24"/>
        </w:rPr>
        <w:t xml:space="preserve"> So on this view of reference fixing, the original users have their ability to designate Aristotle by </w:t>
      </w:r>
      <w:r w:rsidR="00295CE0" w:rsidRPr="007A2C81">
        <w:rPr>
          <w:sz w:val="24"/>
          <w:szCs w:val="24"/>
        </w:rPr>
        <w:t>‘</w:t>
      </w:r>
      <w:r w:rsidR="002A4DE9" w:rsidRPr="007A2C81">
        <w:rPr>
          <w:sz w:val="24"/>
          <w:szCs w:val="24"/>
        </w:rPr>
        <w:t>Aristotle</w:t>
      </w:r>
      <w:r w:rsidR="00295CE0" w:rsidRPr="007A2C81">
        <w:rPr>
          <w:sz w:val="24"/>
          <w:szCs w:val="24"/>
        </w:rPr>
        <w:t>’</w:t>
      </w:r>
      <w:r w:rsidR="002A4DE9" w:rsidRPr="007A2C81">
        <w:rPr>
          <w:sz w:val="24"/>
          <w:szCs w:val="24"/>
        </w:rPr>
        <w:t xml:space="preserve"> in virtue of their causal link to him and then we inherited this ability to designate him by reference borrowing.</w:t>
      </w:r>
      <w:r w:rsidR="008F2C57" w:rsidRPr="007A2C81">
        <w:rPr>
          <w:sz w:val="24"/>
          <w:szCs w:val="24"/>
        </w:rPr>
        <w:t xml:space="preserve"> We should not suppose that Kripke would approve of this view</w:t>
      </w:r>
      <w:r w:rsidR="009A13A1" w:rsidRPr="007A2C81">
        <w:rPr>
          <w:sz w:val="24"/>
          <w:szCs w:val="24"/>
        </w:rPr>
        <w:t xml:space="preserve"> of reference fixing.</w:t>
      </w:r>
    </w:p>
    <w:p w:rsidR="00BC6CE6" w:rsidRPr="007A2C81" w:rsidRDefault="00BC6CE6" w:rsidP="00BE5623">
      <w:pPr>
        <w:pStyle w:val="FootnoteText"/>
        <w:rPr>
          <w:sz w:val="24"/>
          <w:szCs w:val="24"/>
        </w:rPr>
      </w:pPr>
    </w:p>
    <w:p w:rsidR="009542E5" w:rsidRPr="007A2C81" w:rsidRDefault="00E56825" w:rsidP="009542E5">
      <w:pPr>
        <w:rPr>
          <w:b/>
          <w:szCs w:val="24"/>
        </w:rPr>
      </w:pPr>
      <w:r w:rsidRPr="007A2C81">
        <w:rPr>
          <w:b/>
          <w:szCs w:val="24"/>
        </w:rPr>
        <w:t>4</w:t>
      </w:r>
      <w:r w:rsidR="009542E5" w:rsidRPr="007A2C81">
        <w:rPr>
          <w:b/>
          <w:szCs w:val="24"/>
        </w:rPr>
        <w:t>. Description Theories and Lost Rigidity</w:t>
      </w:r>
    </w:p>
    <w:p w:rsidR="008F2B57" w:rsidRPr="007A2C81" w:rsidRDefault="008F2B57" w:rsidP="00BE5623">
      <w:pPr>
        <w:rPr>
          <w:szCs w:val="24"/>
        </w:rPr>
      </w:pPr>
    </w:p>
    <w:p w:rsidR="001B1220" w:rsidRPr="007A2C81" w:rsidRDefault="00890940" w:rsidP="00BE5623">
      <w:pPr>
        <w:tabs>
          <w:tab w:val="left" w:pos="-720"/>
        </w:tabs>
        <w:suppressAutoHyphens/>
        <w:rPr>
          <w:szCs w:val="24"/>
        </w:rPr>
      </w:pPr>
      <w:proofErr w:type="spellStart"/>
      <w:r w:rsidRPr="007A2C81">
        <w:rPr>
          <w:spacing w:val="-3"/>
          <w:szCs w:val="24"/>
        </w:rPr>
        <w:t>Kripke’s</w:t>
      </w:r>
      <w:proofErr w:type="spellEnd"/>
      <w:r w:rsidRPr="007A2C81">
        <w:rPr>
          <w:spacing w:val="-3"/>
          <w:szCs w:val="24"/>
        </w:rPr>
        <w:t xml:space="preserve"> claim that some terms are “rigid” was another notable feature of the revolution in the theory of reference. H</w:t>
      </w:r>
      <w:r w:rsidR="002018F9" w:rsidRPr="007A2C81">
        <w:rPr>
          <w:spacing w:val="-3"/>
          <w:szCs w:val="24"/>
        </w:rPr>
        <w:t>e</w:t>
      </w:r>
      <w:r w:rsidR="008F2B57" w:rsidRPr="007A2C81">
        <w:rPr>
          <w:spacing w:val="-3"/>
          <w:szCs w:val="24"/>
        </w:rPr>
        <w:t xml:space="preserve"> defines a rigid designator as one that designates the same object in every possible world in which that object exists. If a designator does not do this</w:t>
      </w:r>
      <w:r w:rsidR="00DF01CA" w:rsidRPr="007A2C81">
        <w:rPr>
          <w:spacing w:val="-3"/>
          <w:szCs w:val="24"/>
        </w:rPr>
        <w:t>, then</w:t>
      </w:r>
      <w:r w:rsidR="008F2B57" w:rsidRPr="007A2C81">
        <w:rPr>
          <w:spacing w:val="-3"/>
          <w:szCs w:val="24"/>
        </w:rPr>
        <w:t xml:space="preserve"> it is non</w:t>
      </w:r>
      <w:r w:rsidR="004B2BE3">
        <w:rPr>
          <w:spacing w:val="-3"/>
          <w:szCs w:val="24"/>
        </w:rPr>
        <w:t>-</w:t>
      </w:r>
      <w:r w:rsidR="008F2B57" w:rsidRPr="007A2C81">
        <w:rPr>
          <w:spacing w:val="-3"/>
          <w:szCs w:val="24"/>
        </w:rPr>
        <w:t xml:space="preserve">rigid (48). </w:t>
      </w:r>
      <w:r w:rsidR="000E6F0A" w:rsidRPr="007A2C81">
        <w:rPr>
          <w:szCs w:val="24"/>
        </w:rPr>
        <w:t>Kri</w:t>
      </w:r>
      <w:r w:rsidR="00CF20DD" w:rsidRPr="007A2C81">
        <w:rPr>
          <w:szCs w:val="24"/>
        </w:rPr>
        <w:t>pke then</w:t>
      </w:r>
      <w:r w:rsidR="001B1220" w:rsidRPr="007A2C81">
        <w:rPr>
          <w:szCs w:val="24"/>
        </w:rPr>
        <w:t xml:space="preserve"> argues that</w:t>
      </w:r>
      <w:r w:rsidR="00CF20DD" w:rsidRPr="007A2C81">
        <w:rPr>
          <w:szCs w:val="24"/>
        </w:rPr>
        <w:t xml:space="preserve"> a proper name is rigid but description</w:t>
      </w:r>
      <w:r w:rsidR="003C0DA5" w:rsidRPr="007A2C81">
        <w:rPr>
          <w:szCs w:val="24"/>
        </w:rPr>
        <w:t>s</w:t>
      </w:r>
      <w:r w:rsidR="00E51524" w:rsidRPr="007A2C81">
        <w:rPr>
          <w:szCs w:val="24"/>
        </w:rPr>
        <w:t>,</w:t>
      </w:r>
      <w:r w:rsidR="003C0DA5" w:rsidRPr="007A2C81">
        <w:rPr>
          <w:szCs w:val="24"/>
        </w:rPr>
        <w:t xml:space="preserve"> of the sort</w:t>
      </w:r>
      <w:r w:rsidR="00CF20DD" w:rsidRPr="007A2C81">
        <w:rPr>
          <w:szCs w:val="24"/>
        </w:rPr>
        <w:t xml:space="preserve"> alleged by description theories to express the name</w:t>
      </w:r>
      <w:r w:rsidR="00295CE0" w:rsidRPr="007A2C81">
        <w:rPr>
          <w:szCs w:val="24"/>
        </w:rPr>
        <w:t>’</w:t>
      </w:r>
      <w:r w:rsidR="003C0DA5" w:rsidRPr="007A2C81">
        <w:rPr>
          <w:szCs w:val="24"/>
        </w:rPr>
        <w:t>s meaning</w:t>
      </w:r>
      <w:r w:rsidR="00E51524" w:rsidRPr="007A2C81">
        <w:rPr>
          <w:szCs w:val="24"/>
        </w:rPr>
        <w:t>,</w:t>
      </w:r>
      <w:r w:rsidR="003C0DA5" w:rsidRPr="007A2C81">
        <w:rPr>
          <w:szCs w:val="24"/>
        </w:rPr>
        <w:t xml:space="preserve"> are</w:t>
      </w:r>
      <w:r w:rsidR="00CF20DD" w:rsidRPr="007A2C81">
        <w:rPr>
          <w:szCs w:val="24"/>
        </w:rPr>
        <w:t xml:space="preserve"> not.</w:t>
      </w:r>
      <w:r w:rsidR="00DF01CA" w:rsidRPr="007A2C81">
        <w:rPr>
          <w:szCs w:val="24"/>
        </w:rPr>
        <w:t xml:space="preserve"> For example, </w:t>
      </w:r>
      <w:r w:rsidR="00295CE0" w:rsidRPr="007A2C81">
        <w:rPr>
          <w:spacing w:val="-3"/>
          <w:szCs w:val="24"/>
        </w:rPr>
        <w:t>‘</w:t>
      </w:r>
      <w:r w:rsidR="00DF01CA" w:rsidRPr="007A2C81">
        <w:rPr>
          <w:spacing w:val="-3"/>
          <w:szCs w:val="24"/>
        </w:rPr>
        <w:t>Aristotle</w:t>
      </w:r>
      <w:r w:rsidR="00295CE0" w:rsidRPr="007A2C81">
        <w:rPr>
          <w:spacing w:val="-3"/>
          <w:szCs w:val="24"/>
        </w:rPr>
        <w:t>’</w:t>
      </w:r>
      <w:r w:rsidR="00DF01CA" w:rsidRPr="007A2C81">
        <w:rPr>
          <w:spacing w:val="-3"/>
          <w:szCs w:val="24"/>
        </w:rPr>
        <w:t xml:space="preserve"> is rigid but </w:t>
      </w:r>
      <w:proofErr w:type="spellStart"/>
      <w:r w:rsidR="00DF01CA" w:rsidRPr="007A2C81">
        <w:rPr>
          <w:spacing w:val="-3"/>
          <w:szCs w:val="24"/>
        </w:rPr>
        <w:t>Frege</w:t>
      </w:r>
      <w:r w:rsidR="00295CE0" w:rsidRPr="007A2C81">
        <w:rPr>
          <w:spacing w:val="-3"/>
          <w:szCs w:val="24"/>
        </w:rPr>
        <w:t>’</w:t>
      </w:r>
      <w:r w:rsidR="00DF01CA" w:rsidRPr="007A2C81">
        <w:rPr>
          <w:spacing w:val="-3"/>
          <w:szCs w:val="24"/>
        </w:rPr>
        <w:t>s</w:t>
      </w:r>
      <w:proofErr w:type="spellEnd"/>
      <w:r w:rsidR="00DF01CA" w:rsidRPr="007A2C81">
        <w:rPr>
          <w:spacing w:val="-3"/>
          <w:szCs w:val="24"/>
        </w:rPr>
        <w:t xml:space="preserve"> suggestion for its meaning, </w:t>
      </w:r>
      <w:r w:rsidR="00295CE0" w:rsidRPr="007A2C81">
        <w:rPr>
          <w:spacing w:val="-3"/>
          <w:szCs w:val="24"/>
        </w:rPr>
        <w:t>‘</w:t>
      </w:r>
      <w:r w:rsidR="00DF01CA" w:rsidRPr="007A2C81">
        <w:rPr>
          <w:spacing w:val="-3"/>
          <w:szCs w:val="24"/>
        </w:rPr>
        <w:t>the pupil of Plato and teacher of Alexander the Great</w:t>
      </w:r>
      <w:r w:rsidR="00295CE0" w:rsidRPr="007A2C81">
        <w:rPr>
          <w:spacing w:val="-3"/>
          <w:szCs w:val="24"/>
        </w:rPr>
        <w:t>’</w:t>
      </w:r>
      <w:r w:rsidR="00DF01CA" w:rsidRPr="007A2C81">
        <w:rPr>
          <w:spacing w:val="-3"/>
          <w:szCs w:val="24"/>
        </w:rPr>
        <w:t>, is not.</w:t>
      </w:r>
      <w:r w:rsidR="00CF20DD" w:rsidRPr="007A2C81">
        <w:rPr>
          <w:szCs w:val="24"/>
        </w:rPr>
        <w:t xml:space="preserve"> So the </w:t>
      </w:r>
      <w:r w:rsidR="00CF20DD" w:rsidRPr="007A2C81">
        <w:rPr>
          <w:szCs w:val="24"/>
        </w:rPr>
        <w:lastRenderedPageBreak/>
        <w:t xml:space="preserve">name is not synonymous with </w:t>
      </w:r>
      <w:r w:rsidR="00DF01CA" w:rsidRPr="007A2C81">
        <w:rPr>
          <w:szCs w:val="24"/>
        </w:rPr>
        <w:t>a description</w:t>
      </w:r>
      <w:r w:rsidR="00CF20DD" w:rsidRPr="007A2C81">
        <w:rPr>
          <w:szCs w:val="24"/>
        </w:rPr>
        <w:t xml:space="preserve"> and the description theories are wrong. </w:t>
      </w:r>
      <w:r w:rsidR="001B1220" w:rsidRPr="007A2C81">
        <w:rPr>
          <w:szCs w:val="24"/>
        </w:rPr>
        <w:t>That is the Lost Rigidity argument. I have several points to make about this argument.</w:t>
      </w:r>
    </w:p>
    <w:p w:rsidR="001B1220" w:rsidRPr="007A2C81" w:rsidRDefault="001B1220" w:rsidP="00BE5623">
      <w:pPr>
        <w:ind w:firstLine="720"/>
        <w:rPr>
          <w:szCs w:val="24"/>
        </w:rPr>
      </w:pPr>
    </w:p>
    <w:p w:rsidR="00224419" w:rsidRPr="007A2C81" w:rsidRDefault="001B1220" w:rsidP="00BE5623">
      <w:pPr>
        <w:ind w:firstLine="720"/>
        <w:rPr>
          <w:spacing w:val="-3"/>
          <w:szCs w:val="24"/>
        </w:rPr>
      </w:pPr>
      <w:r w:rsidRPr="007A2C81">
        <w:rPr>
          <w:i/>
          <w:szCs w:val="24"/>
        </w:rPr>
        <w:t>(</w:t>
      </w:r>
      <w:r w:rsidR="00696BE3" w:rsidRPr="007A2C81">
        <w:rPr>
          <w:i/>
          <w:szCs w:val="24"/>
        </w:rPr>
        <w:t>I</w:t>
      </w:r>
      <w:r w:rsidRPr="007A2C81">
        <w:rPr>
          <w:i/>
          <w:szCs w:val="24"/>
        </w:rPr>
        <w:t>) Saving Description Theories</w:t>
      </w:r>
      <w:r w:rsidRPr="007A2C81">
        <w:rPr>
          <w:szCs w:val="24"/>
        </w:rPr>
        <w:t>. A</w:t>
      </w:r>
      <w:r w:rsidR="00CF20DD" w:rsidRPr="007A2C81">
        <w:rPr>
          <w:szCs w:val="24"/>
        </w:rPr>
        <w:t>s Kripke notes</w:t>
      </w:r>
      <w:r w:rsidRPr="007A2C81">
        <w:rPr>
          <w:szCs w:val="24"/>
        </w:rPr>
        <w:t>, the argument</w:t>
      </w:r>
      <w:r w:rsidR="00CF20DD" w:rsidRPr="007A2C81">
        <w:rPr>
          <w:szCs w:val="24"/>
        </w:rPr>
        <w:t xml:space="preserve"> counts against description theories</w:t>
      </w:r>
      <w:r w:rsidR="00CF20DD" w:rsidRPr="007A2C81">
        <w:rPr>
          <w:spacing w:val="-3"/>
          <w:szCs w:val="24"/>
        </w:rPr>
        <w:t xml:space="preserve"> construed as theories of</w:t>
      </w:r>
      <w:r w:rsidR="004B2BE3">
        <w:rPr>
          <w:spacing w:val="-3"/>
          <w:szCs w:val="24"/>
        </w:rPr>
        <w:t xml:space="preserve"> </w:t>
      </w:r>
      <w:r w:rsidR="004B2BE3" w:rsidRPr="004B2BE3">
        <w:rPr>
          <w:spacing w:val="-3"/>
          <w:szCs w:val="24"/>
        </w:rPr>
        <w:t xml:space="preserve">what a name </w:t>
      </w:r>
      <w:r w:rsidR="004B2BE3" w:rsidRPr="004B2BE3">
        <w:rPr>
          <w:i/>
          <w:spacing w:val="-3"/>
          <w:szCs w:val="24"/>
        </w:rPr>
        <w:t>means</w:t>
      </w:r>
      <w:r w:rsidR="003C0DA5" w:rsidRPr="007A2C81">
        <w:rPr>
          <w:spacing w:val="-3"/>
          <w:szCs w:val="24"/>
        </w:rPr>
        <w:t>, as they naturally are,</w:t>
      </w:r>
      <w:r w:rsidR="00CF20DD" w:rsidRPr="007A2C81">
        <w:rPr>
          <w:spacing w:val="-3"/>
          <w:szCs w:val="24"/>
        </w:rPr>
        <w:t xml:space="preserve"> but not against ones </w:t>
      </w:r>
      <w:r w:rsidRPr="007A2C81">
        <w:rPr>
          <w:spacing w:val="-3"/>
          <w:szCs w:val="24"/>
        </w:rPr>
        <w:t>construed</w:t>
      </w:r>
      <w:r w:rsidR="00CF20DD" w:rsidRPr="007A2C81">
        <w:rPr>
          <w:spacing w:val="-3"/>
          <w:szCs w:val="24"/>
        </w:rPr>
        <w:t xml:space="preserve"> </w:t>
      </w:r>
      <w:r w:rsidR="003C0DA5" w:rsidRPr="007A2C81">
        <w:rPr>
          <w:spacing w:val="-3"/>
          <w:szCs w:val="24"/>
        </w:rPr>
        <w:t>as</w:t>
      </w:r>
      <w:r w:rsidRPr="007A2C81">
        <w:rPr>
          <w:spacing w:val="-3"/>
          <w:szCs w:val="24"/>
        </w:rPr>
        <w:t xml:space="preserve"> only</w:t>
      </w:r>
      <w:r w:rsidR="003C0DA5" w:rsidRPr="007A2C81">
        <w:rPr>
          <w:spacing w:val="-3"/>
          <w:szCs w:val="24"/>
        </w:rPr>
        <w:t xml:space="preserve"> </w:t>
      </w:r>
      <w:r w:rsidR="00CF20DD" w:rsidRPr="007A2C81">
        <w:rPr>
          <w:spacing w:val="-3"/>
          <w:szCs w:val="24"/>
        </w:rPr>
        <w:t>theories of</w:t>
      </w:r>
      <w:r w:rsidR="004B2BE3">
        <w:rPr>
          <w:spacing w:val="-3"/>
          <w:szCs w:val="24"/>
        </w:rPr>
        <w:t xml:space="preserve"> </w:t>
      </w:r>
      <w:r w:rsidR="004B2BE3" w:rsidRPr="004B2BE3">
        <w:rPr>
          <w:i/>
          <w:spacing w:val="-3"/>
          <w:szCs w:val="24"/>
        </w:rPr>
        <w:t>what determines the reference</w:t>
      </w:r>
      <w:r w:rsidR="004B2BE3">
        <w:rPr>
          <w:spacing w:val="-3"/>
          <w:szCs w:val="24"/>
        </w:rPr>
        <w:t xml:space="preserve"> of a name.</w:t>
      </w:r>
      <w:r w:rsidR="00224419" w:rsidRPr="007A2C81">
        <w:rPr>
          <w:spacing w:val="-3"/>
          <w:szCs w:val="24"/>
        </w:rPr>
        <w:t xml:space="preserve"> But the latter construal </w:t>
      </w:r>
      <w:r w:rsidR="001A1AF8" w:rsidRPr="007A2C81">
        <w:rPr>
          <w:spacing w:val="-3"/>
          <w:szCs w:val="24"/>
        </w:rPr>
        <w:t>leaves</w:t>
      </w:r>
      <w:r w:rsidR="00224419" w:rsidRPr="007A2C81">
        <w:rPr>
          <w:spacing w:val="-3"/>
          <w:szCs w:val="24"/>
        </w:rPr>
        <w:t xml:space="preserve"> many problems (Devitt and Sterelny 1999: 53). A better way to save description theories is to modify them to accommodate </w:t>
      </w:r>
      <w:proofErr w:type="spellStart"/>
      <w:r w:rsidR="00224419" w:rsidRPr="007A2C81">
        <w:rPr>
          <w:spacing w:val="-3"/>
          <w:szCs w:val="24"/>
        </w:rPr>
        <w:t>Kripke</w:t>
      </w:r>
      <w:r w:rsidR="00295CE0" w:rsidRPr="007A2C81">
        <w:rPr>
          <w:spacing w:val="-3"/>
          <w:szCs w:val="24"/>
        </w:rPr>
        <w:t>’</w:t>
      </w:r>
      <w:r w:rsidR="00224419" w:rsidRPr="007A2C81">
        <w:rPr>
          <w:spacing w:val="-3"/>
          <w:szCs w:val="24"/>
        </w:rPr>
        <w:t>s</w:t>
      </w:r>
      <w:proofErr w:type="spellEnd"/>
      <w:r w:rsidR="00224419" w:rsidRPr="007A2C81">
        <w:rPr>
          <w:spacing w:val="-3"/>
          <w:szCs w:val="24"/>
        </w:rPr>
        <w:t xml:space="preserve"> point: the meaning of a name is given by</w:t>
      </w:r>
      <w:r w:rsidR="003C0DA5" w:rsidRPr="007A2C81">
        <w:rPr>
          <w:spacing w:val="-3"/>
          <w:szCs w:val="24"/>
        </w:rPr>
        <w:t xml:space="preserve"> a different sort of description,</w:t>
      </w:r>
      <w:r w:rsidR="00224419" w:rsidRPr="007A2C81">
        <w:rPr>
          <w:spacing w:val="-3"/>
          <w:szCs w:val="24"/>
        </w:rPr>
        <w:t xml:space="preserve"> a </w:t>
      </w:r>
      <w:r w:rsidR="00224419" w:rsidRPr="007A2C81">
        <w:rPr>
          <w:i/>
          <w:spacing w:val="-3"/>
          <w:szCs w:val="24"/>
        </w:rPr>
        <w:t>rigidified</w:t>
      </w:r>
      <w:r w:rsidR="00224419" w:rsidRPr="007A2C81">
        <w:rPr>
          <w:spacing w:val="-3"/>
          <w:szCs w:val="24"/>
        </w:rPr>
        <w:t xml:space="preserve"> </w:t>
      </w:r>
      <w:r w:rsidR="003C0DA5" w:rsidRPr="007A2C81">
        <w:rPr>
          <w:spacing w:val="-3"/>
          <w:szCs w:val="24"/>
        </w:rPr>
        <w:t>one</w:t>
      </w:r>
      <w:r w:rsidR="00224419" w:rsidRPr="007A2C81">
        <w:rPr>
          <w:spacing w:val="-3"/>
          <w:szCs w:val="24"/>
        </w:rPr>
        <w:t xml:space="preserve">. Thus, instead of </w:t>
      </w:r>
      <w:proofErr w:type="spellStart"/>
      <w:r w:rsidR="008208A6" w:rsidRPr="007A2C81">
        <w:rPr>
          <w:spacing w:val="-3"/>
          <w:szCs w:val="24"/>
        </w:rPr>
        <w:t>Frege</w:t>
      </w:r>
      <w:r w:rsidR="00295CE0" w:rsidRPr="007A2C81">
        <w:rPr>
          <w:spacing w:val="-3"/>
          <w:szCs w:val="24"/>
        </w:rPr>
        <w:t>’</w:t>
      </w:r>
      <w:r w:rsidR="008208A6" w:rsidRPr="007A2C81">
        <w:rPr>
          <w:spacing w:val="-3"/>
          <w:szCs w:val="24"/>
        </w:rPr>
        <w:t>s</w:t>
      </w:r>
      <w:proofErr w:type="spellEnd"/>
      <w:r w:rsidR="008208A6" w:rsidRPr="007A2C81">
        <w:rPr>
          <w:spacing w:val="-3"/>
          <w:szCs w:val="24"/>
        </w:rPr>
        <w:t xml:space="preserve"> suggestion for</w:t>
      </w:r>
      <w:r w:rsidR="00224419" w:rsidRPr="007A2C81">
        <w:rPr>
          <w:spacing w:val="-3"/>
          <w:szCs w:val="24"/>
        </w:rPr>
        <w:t xml:space="preserve"> the meaning of </w:t>
      </w:r>
      <w:r w:rsidR="00295CE0" w:rsidRPr="007A2C81">
        <w:rPr>
          <w:spacing w:val="-3"/>
          <w:szCs w:val="24"/>
        </w:rPr>
        <w:t>‘</w:t>
      </w:r>
      <w:r w:rsidR="00224419" w:rsidRPr="007A2C81">
        <w:rPr>
          <w:spacing w:val="-3"/>
          <w:szCs w:val="24"/>
        </w:rPr>
        <w:t>Aristotle</w:t>
      </w:r>
      <w:r w:rsidR="00295CE0" w:rsidRPr="007A2C81">
        <w:rPr>
          <w:spacing w:val="-3"/>
          <w:szCs w:val="24"/>
        </w:rPr>
        <w:t>’</w:t>
      </w:r>
      <w:r w:rsidR="008208A6" w:rsidRPr="007A2C81">
        <w:rPr>
          <w:spacing w:val="-3"/>
          <w:szCs w:val="24"/>
        </w:rPr>
        <w:t>,</w:t>
      </w:r>
      <w:r w:rsidR="00224419" w:rsidRPr="007A2C81">
        <w:rPr>
          <w:spacing w:val="-3"/>
          <w:szCs w:val="24"/>
        </w:rPr>
        <w:t xml:space="preserve"> the</w:t>
      </w:r>
      <w:r w:rsidR="000819F3" w:rsidRPr="007A2C81">
        <w:rPr>
          <w:spacing w:val="-3"/>
          <w:szCs w:val="24"/>
        </w:rPr>
        <w:t xml:space="preserve"> modified</w:t>
      </w:r>
      <w:r w:rsidR="00224419" w:rsidRPr="007A2C81">
        <w:rPr>
          <w:spacing w:val="-3"/>
          <w:szCs w:val="24"/>
        </w:rPr>
        <w:t xml:space="preserve"> theory says that the meaning is given by </w:t>
      </w:r>
      <w:r w:rsidR="002018F9" w:rsidRPr="007A2C81">
        <w:rPr>
          <w:spacing w:val="-3"/>
          <w:szCs w:val="24"/>
        </w:rPr>
        <w:t>the rigid description,</w:t>
      </w:r>
      <w:r w:rsidR="000F44B9">
        <w:rPr>
          <w:spacing w:val="-3"/>
          <w:szCs w:val="24"/>
        </w:rPr>
        <w:t xml:space="preserve"> </w:t>
      </w:r>
      <w:r w:rsidR="00295CE0" w:rsidRPr="007A2C81">
        <w:rPr>
          <w:spacing w:val="-3"/>
          <w:szCs w:val="24"/>
        </w:rPr>
        <w:t>‘</w:t>
      </w:r>
      <w:r w:rsidR="00224419" w:rsidRPr="007A2C81">
        <w:rPr>
          <w:spacing w:val="-3"/>
          <w:szCs w:val="24"/>
        </w:rPr>
        <w:t xml:space="preserve">the person </w:t>
      </w:r>
      <w:r w:rsidR="00224419" w:rsidRPr="007A2C81">
        <w:rPr>
          <w:i/>
          <w:spacing w:val="-3"/>
          <w:szCs w:val="24"/>
        </w:rPr>
        <w:t>in the actual world</w:t>
      </w:r>
      <w:r w:rsidR="00224419" w:rsidRPr="007A2C81">
        <w:rPr>
          <w:spacing w:val="-3"/>
          <w:szCs w:val="24"/>
        </w:rPr>
        <w:t xml:space="preserve"> who was the pupil of Plato and teacher of Alexander the Great</w:t>
      </w:r>
      <w:r w:rsidR="00295CE0" w:rsidRPr="007A2C81">
        <w:rPr>
          <w:spacing w:val="-3"/>
          <w:szCs w:val="24"/>
        </w:rPr>
        <w:t>’</w:t>
      </w:r>
      <w:r w:rsidR="00224419" w:rsidRPr="007A2C81">
        <w:rPr>
          <w:spacing w:val="-3"/>
          <w:szCs w:val="24"/>
        </w:rPr>
        <w:t>.</w:t>
      </w:r>
    </w:p>
    <w:p w:rsidR="008208A6" w:rsidRPr="007A2C81" w:rsidRDefault="008208A6" w:rsidP="00BE5623">
      <w:pPr>
        <w:rPr>
          <w:spacing w:val="-3"/>
          <w:szCs w:val="24"/>
        </w:rPr>
      </w:pPr>
    </w:p>
    <w:p w:rsidR="00224419" w:rsidRPr="007A2C81" w:rsidRDefault="003C0DA5" w:rsidP="00BE5623">
      <w:pPr>
        <w:ind w:firstLine="720"/>
        <w:rPr>
          <w:spacing w:val="-3"/>
          <w:szCs w:val="24"/>
        </w:rPr>
      </w:pPr>
      <w:r w:rsidRPr="007A2C81">
        <w:rPr>
          <w:spacing w:val="-3"/>
          <w:szCs w:val="24"/>
        </w:rPr>
        <w:t>This is an effective response to the Lost Rigidity argument. There is no such response to the Ignorance and Error argument.</w:t>
      </w:r>
    </w:p>
    <w:p w:rsidR="00CA069B" w:rsidRPr="007A2C81" w:rsidRDefault="00CA069B" w:rsidP="00BE5623">
      <w:pPr>
        <w:rPr>
          <w:spacing w:val="-3"/>
          <w:szCs w:val="24"/>
        </w:rPr>
      </w:pPr>
    </w:p>
    <w:p w:rsidR="00392892" w:rsidRPr="007A2C81" w:rsidRDefault="001B1220" w:rsidP="00BE5623">
      <w:pPr>
        <w:rPr>
          <w:spacing w:val="-3"/>
          <w:szCs w:val="24"/>
        </w:rPr>
      </w:pPr>
      <w:r w:rsidRPr="007A2C81">
        <w:rPr>
          <w:spacing w:val="-3"/>
          <w:szCs w:val="24"/>
        </w:rPr>
        <w:tab/>
      </w:r>
      <w:r w:rsidR="008208A6" w:rsidRPr="007A2C81">
        <w:rPr>
          <w:i/>
          <w:spacing w:val="-3"/>
          <w:szCs w:val="24"/>
        </w:rPr>
        <w:t>(</w:t>
      </w:r>
      <w:r w:rsidR="00696BE3" w:rsidRPr="007A2C81">
        <w:rPr>
          <w:i/>
          <w:spacing w:val="-3"/>
          <w:szCs w:val="24"/>
        </w:rPr>
        <w:t>II</w:t>
      </w:r>
      <w:r w:rsidR="008208A6" w:rsidRPr="007A2C81">
        <w:rPr>
          <w:i/>
          <w:spacing w:val="-3"/>
          <w:szCs w:val="24"/>
        </w:rPr>
        <w:t>) M</w:t>
      </w:r>
      <w:r w:rsidR="0051702A" w:rsidRPr="007A2C81">
        <w:rPr>
          <w:i/>
          <w:spacing w:val="-3"/>
          <w:szCs w:val="24"/>
        </w:rPr>
        <w:t>etaphysical</w:t>
      </w:r>
      <w:r w:rsidR="008208A6" w:rsidRPr="007A2C81">
        <w:rPr>
          <w:i/>
          <w:spacing w:val="-3"/>
          <w:szCs w:val="24"/>
        </w:rPr>
        <w:t xml:space="preserve"> Intuitions</w:t>
      </w:r>
      <w:r w:rsidR="008208A6" w:rsidRPr="007A2C81">
        <w:rPr>
          <w:spacing w:val="-3"/>
          <w:szCs w:val="24"/>
        </w:rPr>
        <w:t xml:space="preserve">. </w:t>
      </w:r>
      <w:r w:rsidR="00DB32FE" w:rsidRPr="007A2C81">
        <w:rPr>
          <w:spacing w:val="-3"/>
          <w:szCs w:val="24"/>
        </w:rPr>
        <w:t>One might be tempted</w:t>
      </w:r>
      <w:r w:rsidR="008208A6" w:rsidRPr="007A2C81">
        <w:rPr>
          <w:spacing w:val="-3"/>
          <w:szCs w:val="24"/>
        </w:rPr>
        <w:t xml:space="preserve"> to think that </w:t>
      </w:r>
      <w:proofErr w:type="spellStart"/>
      <w:r w:rsidR="008208A6" w:rsidRPr="007A2C81">
        <w:rPr>
          <w:spacing w:val="-3"/>
          <w:szCs w:val="24"/>
        </w:rPr>
        <w:t>Kripke</w:t>
      </w:r>
      <w:r w:rsidR="00295CE0" w:rsidRPr="007A2C81">
        <w:rPr>
          <w:spacing w:val="-3"/>
          <w:szCs w:val="24"/>
        </w:rPr>
        <w:t>’</w:t>
      </w:r>
      <w:r w:rsidR="008208A6" w:rsidRPr="007A2C81">
        <w:rPr>
          <w:spacing w:val="-3"/>
          <w:szCs w:val="24"/>
        </w:rPr>
        <w:t>s</w:t>
      </w:r>
      <w:proofErr w:type="spellEnd"/>
      <w:r w:rsidR="008208A6" w:rsidRPr="007A2C81">
        <w:rPr>
          <w:spacing w:val="-3"/>
          <w:szCs w:val="24"/>
        </w:rPr>
        <w:t xml:space="preserve"> refutati</w:t>
      </w:r>
      <w:r w:rsidR="003D768E" w:rsidRPr="007A2C81">
        <w:rPr>
          <w:spacing w:val="-3"/>
          <w:szCs w:val="24"/>
        </w:rPr>
        <w:t>on of description theories rest</w:t>
      </w:r>
      <w:r w:rsidR="008411D8">
        <w:rPr>
          <w:spacing w:val="-3"/>
          <w:szCs w:val="24"/>
        </w:rPr>
        <w:t>s</w:t>
      </w:r>
      <w:r w:rsidR="003937D2" w:rsidRPr="007A2C81">
        <w:rPr>
          <w:spacing w:val="-3"/>
          <w:szCs w:val="24"/>
        </w:rPr>
        <w:t xml:space="preserve"> </w:t>
      </w:r>
      <w:r w:rsidR="008208A6" w:rsidRPr="007A2C81">
        <w:rPr>
          <w:spacing w:val="-3"/>
          <w:szCs w:val="24"/>
        </w:rPr>
        <w:t xml:space="preserve">on </w:t>
      </w:r>
      <w:r w:rsidR="00ED245B" w:rsidRPr="007A2C81">
        <w:rPr>
          <w:i/>
          <w:spacing w:val="-3"/>
          <w:szCs w:val="24"/>
        </w:rPr>
        <w:t>referential</w:t>
      </w:r>
      <w:r w:rsidR="00ED245B" w:rsidRPr="007A2C81">
        <w:rPr>
          <w:spacing w:val="-3"/>
          <w:szCs w:val="24"/>
        </w:rPr>
        <w:t xml:space="preserve"> </w:t>
      </w:r>
      <w:r w:rsidR="008208A6" w:rsidRPr="007A2C81">
        <w:rPr>
          <w:spacing w:val="-3"/>
          <w:szCs w:val="24"/>
        </w:rPr>
        <w:t>intuitions.</w:t>
      </w:r>
      <w:r w:rsidR="008208A6" w:rsidRPr="007A2C81">
        <w:rPr>
          <w:rStyle w:val="FootnoteReference"/>
          <w:spacing w:val="-3"/>
          <w:szCs w:val="24"/>
        </w:rPr>
        <w:footnoteReference w:id="22"/>
      </w:r>
      <w:r w:rsidR="008208A6" w:rsidRPr="007A2C81">
        <w:rPr>
          <w:spacing w:val="-3"/>
          <w:szCs w:val="24"/>
        </w:rPr>
        <w:t xml:space="preserve"> </w:t>
      </w:r>
      <w:r w:rsidR="00CA069B" w:rsidRPr="007A2C81">
        <w:rPr>
          <w:spacing w:val="-3"/>
          <w:szCs w:val="24"/>
        </w:rPr>
        <w:t>And this is true enough of Ignorance and E</w:t>
      </w:r>
      <w:r w:rsidR="00CC474A" w:rsidRPr="007A2C81">
        <w:rPr>
          <w:spacing w:val="-3"/>
          <w:szCs w:val="24"/>
        </w:rPr>
        <w:t>rror but</w:t>
      </w:r>
      <w:r w:rsidR="00CA069B" w:rsidRPr="007A2C81">
        <w:rPr>
          <w:spacing w:val="-3"/>
          <w:szCs w:val="24"/>
        </w:rPr>
        <w:t xml:space="preserve"> </w:t>
      </w:r>
      <w:r w:rsidR="00696BE3" w:rsidRPr="007A2C81">
        <w:rPr>
          <w:spacing w:val="-3"/>
          <w:szCs w:val="24"/>
        </w:rPr>
        <w:t xml:space="preserve">it </w:t>
      </w:r>
      <w:r w:rsidR="00CA069B" w:rsidRPr="007A2C81">
        <w:rPr>
          <w:spacing w:val="-3"/>
          <w:szCs w:val="24"/>
        </w:rPr>
        <w:t xml:space="preserve">is not true of </w:t>
      </w:r>
      <w:r w:rsidR="00DB32FE" w:rsidRPr="007A2C81">
        <w:rPr>
          <w:spacing w:val="-3"/>
          <w:szCs w:val="24"/>
        </w:rPr>
        <w:t xml:space="preserve">Unwanted Necessity and </w:t>
      </w:r>
      <w:r w:rsidRPr="007A2C81">
        <w:rPr>
          <w:spacing w:val="-3"/>
          <w:szCs w:val="24"/>
        </w:rPr>
        <w:t>Lost Rigidity</w:t>
      </w:r>
      <w:r w:rsidR="00CA069B" w:rsidRPr="007A2C81">
        <w:rPr>
          <w:spacing w:val="-3"/>
          <w:szCs w:val="24"/>
        </w:rPr>
        <w:t xml:space="preserve">: </w:t>
      </w:r>
      <w:r w:rsidR="00DB32FE" w:rsidRPr="007A2C81">
        <w:rPr>
          <w:spacing w:val="-3"/>
          <w:szCs w:val="24"/>
        </w:rPr>
        <w:t xml:space="preserve">these </w:t>
      </w:r>
      <w:r w:rsidR="00696BE3" w:rsidRPr="007A2C81">
        <w:rPr>
          <w:spacing w:val="-3"/>
          <w:szCs w:val="24"/>
        </w:rPr>
        <w:t>argument</w:t>
      </w:r>
      <w:r w:rsidR="00DB32FE" w:rsidRPr="007A2C81">
        <w:rPr>
          <w:spacing w:val="-3"/>
          <w:szCs w:val="24"/>
        </w:rPr>
        <w:t>a</w:t>
      </w:r>
      <w:r w:rsidR="00CA069B" w:rsidRPr="007A2C81">
        <w:rPr>
          <w:spacing w:val="-3"/>
          <w:szCs w:val="24"/>
        </w:rPr>
        <w:t xml:space="preserve"> rest</w:t>
      </w:r>
      <w:r w:rsidR="00CC474A" w:rsidRPr="007A2C81">
        <w:rPr>
          <w:spacing w:val="-3"/>
          <w:szCs w:val="24"/>
        </w:rPr>
        <w:t xml:space="preserve"> on</w:t>
      </w:r>
      <w:r w:rsidR="00CA069B" w:rsidRPr="007A2C81">
        <w:rPr>
          <w:spacing w:val="-3"/>
          <w:szCs w:val="24"/>
        </w:rPr>
        <w:t xml:space="preserve"> </w:t>
      </w:r>
      <w:r w:rsidR="0051702A" w:rsidRPr="007A2C81">
        <w:rPr>
          <w:i/>
          <w:spacing w:val="-3"/>
          <w:szCs w:val="24"/>
        </w:rPr>
        <w:t>metaphysical</w:t>
      </w:r>
      <w:r w:rsidR="0051702A" w:rsidRPr="007A2C81">
        <w:rPr>
          <w:spacing w:val="-3"/>
          <w:szCs w:val="24"/>
        </w:rPr>
        <w:t xml:space="preserve"> </w:t>
      </w:r>
      <w:r w:rsidR="00CA069B" w:rsidRPr="007A2C81">
        <w:rPr>
          <w:spacing w:val="-3"/>
          <w:szCs w:val="24"/>
        </w:rPr>
        <w:t xml:space="preserve">intuitions about </w:t>
      </w:r>
      <w:r w:rsidR="00CA069B" w:rsidRPr="007A2C81">
        <w:rPr>
          <w:i/>
          <w:spacing w:val="-3"/>
          <w:szCs w:val="24"/>
        </w:rPr>
        <w:t>modality</w:t>
      </w:r>
      <w:r w:rsidR="00CC474A" w:rsidRPr="007A2C81">
        <w:rPr>
          <w:spacing w:val="-3"/>
          <w:szCs w:val="24"/>
        </w:rPr>
        <w:t xml:space="preserve"> </w:t>
      </w:r>
      <w:r w:rsidR="00ED245B" w:rsidRPr="007A2C81">
        <w:rPr>
          <w:spacing w:val="-3"/>
          <w:szCs w:val="24"/>
        </w:rPr>
        <w:t xml:space="preserve">and </w:t>
      </w:r>
      <w:r w:rsidR="00ED245B" w:rsidRPr="007A2C81">
        <w:rPr>
          <w:i/>
          <w:spacing w:val="-3"/>
          <w:szCs w:val="24"/>
        </w:rPr>
        <w:t>essence</w:t>
      </w:r>
      <w:r w:rsidR="0036796B" w:rsidRPr="007A2C81">
        <w:rPr>
          <w:spacing w:val="-3"/>
          <w:szCs w:val="24"/>
        </w:rPr>
        <w:t>; any</w:t>
      </w:r>
      <w:r w:rsidR="00AD2381" w:rsidRPr="007A2C81">
        <w:rPr>
          <w:spacing w:val="-3"/>
          <w:szCs w:val="24"/>
        </w:rPr>
        <w:t xml:space="preserve"> intuition</w:t>
      </w:r>
      <w:r w:rsidR="0036796B" w:rsidRPr="007A2C81">
        <w:rPr>
          <w:spacing w:val="-3"/>
          <w:szCs w:val="24"/>
        </w:rPr>
        <w:t>s</w:t>
      </w:r>
      <w:r w:rsidR="00AD2381" w:rsidRPr="007A2C81">
        <w:rPr>
          <w:spacing w:val="-3"/>
          <w:szCs w:val="24"/>
        </w:rPr>
        <w:t xml:space="preserve"> about what </w:t>
      </w:r>
      <w:r w:rsidR="00295CE0" w:rsidRPr="007A2C81">
        <w:rPr>
          <w:spacing w:val="-3"/>
          <w:szCs w:val="24"/>
        </w:rPr>
        <w:t>‘</w:t>
      </w:r>
      <w:r w:rsidR="00AD2381" w:rsidRPr="007A2C81">
        <w:rPr>
          <w:i/>
          <w:spacing w:val="-3"/>
          <w:szCs w:val="24"/>
        </w:rPr>
        <w:t>N</w:t>
      </w:r>
      <w:r w:rsidR="00295CE0" w:rsidRPr="007A2C81">
        <w:rPr>
          <w:spacing w:val="-3"/>
          <w:szCs w:val="24"/>
        </w:rPr>
        <w:t>’</w:t>
      </w:r>
      <w:r w:rsidR="00AD2381" w:rsidRPr="007A2C81">
        <w:rPr>
          <w:spacing w:val="-3"/>
          <w:szCs w:val="24"/>
        </w:rPr>
        <w:t xml:space="preserve"> </w:t>
      </w:r>
      <w:r w:rsidR="0036796B" w:rsidRPr="007A2C81">
        <w:rPr>
          <w:spacing w:val="-3"/>
          <w:szCs w:val="24"/>
        </w:rPr>
        <w:t>refers to in a counterfactu</w:t>
      </w:r>
      <w:r w:rsidR="00AD2381" w:rsidRPr="007A2C81">
        <w:rPr>
          <w:spacing w:val="-3"/>
          <w:szCs w:val="24"/>
        </w:rPr>
        <w:t xml:space="preserve">al situation are derived from intuitions about which object is or is not </w:t>
      </w:r>
      <w:r w:rsidR="00AD2381" w:rsidRPr="007A2C81">
        <w:rPr>
          <w:i/>
          <w:spacing w:val="-3"/>
          <w:szCs w:val="24"/>
        </w:rPr>
        <w:t>N</w:t>
      </w:r>
      <w:r w:rsidR="00AD2381" w:rsidRPr="007A2C81">
        <w:rPr>
          <w:spacing w:val="-3"/>
          <w:szCs w:val="24"/>
        </w:rPr>
        <w:t xml:space="preserve"> in that situation. </w:t>
      </w:r>
      <w:r w:rsidR="003D768E" w:rsidRPr="007A2C81">
        <w:rPr>
          <w:spacing w:val="-3"/>
          <w:szCs w:val="24"/>
        </w:rPr>
        <w:t>This is obvious with Unwanted Necessity</w:t>
      </w:r>
      <w:r w:rsidR="003D768E" w:rsidRPr="007A2C81">
        <w:rPr>
          <w:rStyle w:val="FootnoteReference"/>
          <w:spacing w:val="-3"/>
          <w:szCs w:val="24"/>
        </w:rPr>
        <w:footnoteReference w:id="23"/>
      </w:r>
      <w:r w:rsidR="003D768E" w:rsidRPr="007A2C81">
        <w:rPr>
          <w:spacing w:val="-3"/>
          <w:szCs w:val="24"/>
        </w:rPr>
        <w:t xml:space="preserve"> but may not be with</w:t>
      </w:r>
      <w:r w:rsidR="0036796B" w:rsidRPr="007A2C81">
        <w:rPr>
          <w:spacing w:val="-3"/>
          <w:szCs w:val="24"/>
        </w:rPr>
        <w:t xml:space="preserve"> </w:t>
      </w:r>
      <w:r w:rsidR="00C93459" w:rsidRPr="007A2C81">
        <w:rPr>
          <w:spacing w:val="-3"/>
          <w:szCs w:val="24"/>
        </w:rPr>
        <w:t>Lost Rigidity</w:t>
      </w:r>
      <w:r w:rsidR="003D768E" w:rsidRPr="007A2C81">
        <w:rPr>
          <w:spacing w:val="-3"/>
          <w:szCs w:val="24"/>
        </w:rPr>
        <w:t>. We can distinguish four versions of that argument</w:t>
      </w:r>
      <w:r w:rsidR="00ED245B" w:rsidRPr="007A2C81">
        <w:rPr>
          <w:spacing w:val="-3"/>
          <w:szCs w:val="24"/>
        </w:rPr>
        <w:t>:</w:t>
      </w:r>
    </w:p>
    <w:p w:rsidR="00392892" w:rsidRPr="007A2C81" w:rsidRDefault="00392892" w:rsidP="00BE5623">
      <w:pPr>
        <w:rPr>
          <w:spacing w:val="-3"/>
          <w:szCs w:val="24"/>
        </w:rPr>
      </w:pPr>
    </w:p>
    <w:p w:rsidR="00392892" w:rsidRPr="007A2C81" w:rsidRDefault="001B1220" w:rsidP="00392892">
      <w:pPr>
        <w:ind w:firstLine="720"/>
        <w:rPr>
          <w:spacing w:val="-3"/>
          <w:szCs w:val="24"/>
        </w:rPr>
      </w:pPr>
      <w:r w:rsidRPr="007A2C81">
        <w:rPr>
          <w:spacing w:val="-3"/>
          <w:szCs w:val="24"/>
        </w:rPr>
        <w:t>(A) Kripke claims that “although someone other than the U.S. President in 1970 might have been the U.S. President in 1970…, no one other t</w:t>
      </w:r>
      <w:r w:rsidR="0036796B" w:rsidRPr="007A2C81">
        <w:rPr>
          <w:spacing w:val="-3"/>
          <w:szCs w:val="24"/>
        </w:rPr>
        <w:t>han Nixon might have been Nixon</w:t>
      </w:r>
      <w:r w:rsidRPr="007A2C81">
        <w:rPr>
          <w:spacing w:val="-3"/>
          <w:szCs w:val="24"/>
        </w:rPr>
        <w:t>”</w:t>
      </w:r>
      <w:r w:rsidR="0036796B" w:rsidRPr="007A2C81">
        <w:rPr>
          <w:spacing w:val="-3"/>
          <w:szCs w:val="24"/>
        </w:rPr>
        <w:t xml:space="preserve"> (48). This is a modal claim arising from the view that being U.S President in 1970 i</w:t>
      </w:r>
      <w:r w:rsidR="001A1AF8" w:rsidRPr="007A2C81">
        <w:rPr>
          <w:spacing w:val="-3"/>
          <w:szCs w:val="24"/>
        </w:rPr>
        <w:t>s not essential to being Nixon but being Nixon is</w:t>
      </w:r>
      <w:r w:rsidR="0036796B" w:rsidRPr="007A2C81">
        <w:rPr>
          <w:spacing w:val="-3"/>
          <w:szCs w:val="24"/>
        </w:rPr>
        <w:t>. Based on this modal intuition, Kripke claims that</w:t>
      </w:r>
      <w:r w:rsidRPr="007A2C81">
        <w:rPr>
          <w:spacing w:val="-3"/>
          <w:szCs w:val="24"/>
        </w:rPr>
        <w:t xml:space="preserve"> </w:t>
      </w:r>
      <w:r w:rsidR="00295CE0" w:rsidRPr="007A2C81">
        <w:rPr>
          <w:spacing w:val="-3"/>
          <w:szCs w:val="24"/>
        </w:rPr>
        <w:t>‘</w:t>
      </w:r>
      <w:r w:rsidRPr="007A2C81">
        <w:rPr>
          <w:spacing w:val="-3"/>
          <w:szCs w:val="24"/>
        </w:rPr>
        <w:t>Nixon</w:t>
      </w:r>
      <w:r w:rsidR="00295CE0" w:rsidRPr="007A2C81">
        <w:rPr>
          <w:spacing w:val="-3"/>
          <w:szCs w:val="24"/>
        </w:rPr>
        <w:t>’</w:t>
      </w:r>
      <w:r w:rsidRPr="007A2C81">
        <w:rPr>
          <w:spacing w:val="-3"/>
          <w:szCs w:val="24"/>
        </w:rPr>
        <w:t xml:space="preserve"> passes “the intuitive test” for rigidity while </w:t>
      </w:r>
      <w:r w:rsidR="00295CE0" w:rsidRPr="007A2C81">
        <w:rPr>
          <w:spacing w:val="-3"/>
          <w:szCs w:val="24"/>
        </w:rPr>
        <w:t>‘</w:t>
      </w:r>
      <w:r w:rsidRPr="007A2C81">
        <w:rPr>
          <w:spacing w:val="-3"/>
          <w:szCs w:val="24"/>
        </w:rPr>
        <w:t>the U.S.</w:t>
      </w:r>
      <w:r w:rsidR="00CA069B" w:rsidRPr="007A2C81">
        <w:rPr>
          <w:spacing w:val="-3"/>
          <w:szCs w:val="24"/>
        </w:rPr>
        <w:t xml:space="preserve"> President in 1970</w:t>
      </w:r>
      <w:r w:rsidR="00295CE0" w:rsidRPr="007A2C81">
        <w:rPr>
          <w:spacing w:val="-3"/>
          <w:szCs w:val="24"/>
        </w:rPr>
        <w:t>’</w:t>
      </w:r>
      <w:r w:rsidR="00CA069B" w:rsidRPr="007A2C81">
        <w:rPr>
          <w:spacing w:val="-3"/>
          <w:szCs w:val="24"/>
        </w:rPr>
        <w:t xml:space="preserve"> fails (</w:t>
      </w:r>
      <w:r w:rsidRPr="007A2C81">
        <w:rPr>
          <w:spacing w:val="-3"/>
          <w:szCs w:val="24"/>
        </w:rPr>
        <w:t>48).</w:t>
      </w:r>
    </w:p>
    <w:p w:rsidR="00392892" w:rsidRPr="007A2C81" w:rsidRDefault="00392892" w:rsidP="00392892">
      <w:pPr>
        <w:ind w:firstLine="720"/>
        <w:rPr>
          <w:spacing w:val="-3"/>
          <w:szCs w:val="24"/>
        </w:rPr>
      </w:pPr>
    </w:p>
    <w:p w:rsidR="00392892" w:rsidRPr="007A2C81" w:rsidRDefault="001B1220" w:rsidP="00392892">
      <w:pPr>
        <w:ind w:firstLine="720"/>
        <w:rPr>
          <w:spacing w:val="-3"/>
          <w:szCs w:val="24"/>
        </w:rPr>
      </w:pPr>
      <w:r w:rsidRPr="007A2C81">
        <w:rPr>
          <w:spacing w:val="-3"/>
          <w:szCs w:val="24"/>
        </w:rPr>
        <w:t xml:space="preserve">(B) Kripke claims that since Hesperus is Phosphorus, necessarily Hesperus is Phosphorus. But substituting descriptions, say, </w:t>
      </w:r>
      <w:r w:rsidR="00295CE0" w:rsidRPr="007A2C81">
        <w:rPr>
          <w:spacing w:val="-3"/>
          <w:szCs w:val="24"/>
        </w:rPr>
        <w:t>‘</w:t>
      </w:r>
      <w:r w:rsidRPr="007A2C81">
        <w:rPr>
          <w:spacing w:val="-3"/>
          <w:szCs w:val="24"/>
        </w:rPr>
        <w:t>the planet seen in the evening</w:t>
      </w:r>
      <w:r w:rsidR="00295CE0" w:rsidRPr="007A2C81">
        <w:rPr>
          <w:spacing w:val="-3"/>
          <w:szCs w:val="24"/>
        </w:rPr>
        <w:t>’</w:t>
      </w:r>
      <w:r w:rsidRPr="007A2C81">
        <w:rPr>
          <w:spacing w:val="-3"/>
          <w:szCs w:val="24"/>
        </w:rPr>
        <w:t xml:space="preserve"> for </w:t>
      </w:r>
      <w:r w:rsidR="00295CE0" w:rsidRPr="007A2C81">
        <w:rPr>
          <w:spacing w:val="-3"/>
          <w:szCs w:val="24"/>
        </w:rPr>
        <w:t>‘</w:t>
      </w:r>
      <w:r w:rsidRPr="007A2C81">
        <w:rPr>
          <w:spacing w:val="-3"/>
          <w:szCs w:val="24"/>
        </w:rPr>
        <w:t>Hesperus</w:t>
      </w:r>
      <w:r w:rsidR="00295CE0" w:rsidRPr="007A2C81">
        <w:rPr>
          <w:spacing w:val="-3"/>
          <w:szCs w:val="24"/>
        </w:rPr>
        <w:t>’</w:t>
      </w:r>
      <w:r w:rsidRPr="007A2C81">
        <w:rPr>
          <w:spacing w:val="-3"/>
          <w:szCs w:val="24"/>
        </w:rPr>
        <w:t xml:space="preserve"> and </w:t>
      </w:r>
      <w:r w:rsidR="00295CE0" w:rsidRPr="007A2C81">
        <w:rPr>
          <w:spacing w:val="-3"/>
          <w:szCs w:val="24"/>
        </w:rPr>
        <w:t>‘</w:t>
      </w:r>
      <w:r w:rsidRPr="007A2C81">
        <w:rPr>
          <w:spacing w:val="-3"/>
          <w:szCs w:val="24"/>
        </w:rPr>
        <w:t>the planet seen in the morning</w:t>
      </w:r>
      <w:r w:rsidR="00295CE0" w:rsidRPr="007A2C81">
        <w:rPr>
          <w:spacing w:val="-3"/>
          <w:szCs w:val="24"/>
        </w:rPr>
        <w:t>’</w:t>
      </w:r>
      <w:r w:rsidRPr="007A2C81">
        <w:rPr>
          <w:spacing w:val="-3"/>
          <w:szCs w:val="24"/>
        </w:rPr>
        <w:t xml:space="preserve"> for </w:t>
      </w:r>
      <w:r w:rsidR="00295CE0" w:rsidRPr="007A2C81">
        <w:rPr>
          <w:spacing w:val="-3"/>
          <w:szCs w:val="24"/>
        </w:rPr>
        <w:t>‘</w:t>
      </w:r>
      <w:r w:rsidRPr="007A2C81">
        <w:rPr>
          <w:spacing w:val="-3"/>
          <w:szCs w:val="24"/>
        </w:rPr>
        <w:t>Phosphorus</w:t>
      </w:r>
      <w:r w:rsidR="00295CE0" w:rsidRPr="007A2C81">
        <w:rPr>
          <w:spacing w:val="-3"/>
          <w:szCs w:val="24"/>
        </w:rPr>
        <w:t>’</w:t>
      </w:r>
      <w:r w:rsidRPr="007A2C81">
        <w:rPr>
          <w:spacing w:val="-3"/>
          <w:szCs w:val="24"/>
        </w:rPr>
        <w:t>, turns this truth into a falsehood. The names, unlike t</w:t>
      </w:r>
      <w:r w:rsidR="00CA069B" w:rsidRPr="007A2C81">
        <w:rPr>
          <w:spacing w:val="-3"/>
          <w:szCs w:val="24"/>
        </w:rPr>
        <w:t>he descriptions, are rigid (</w:t>
      </w:r>
      <w:r w:rsidRPr="007A2C81">
        <w:rPr>
          <w:spacing w:val="-3"/>
          <w:szCs w:val="24"/>
        </w:rPr>
        <w:t>3-5, 98-102).</w:t>
      </w:r>
      <w:r w:rsidR="00CC474A" w:rsidRPr="007A2C81">
        <w:rPr>
          <w:spacing w:val="-3"/>
          <w:szCs w:val="24"/>
        </w:rPr>
        <w:t xml:space="preserve"> </w:t>
      </w:r>
      <w:r w:rsidR="00E47AB8">
        <w:rPr>
          <w:spacing w:val="-3"/>
          <w:szCs w:val="24"/>
        </w:rPr>
        <w:t>This is based on m</w:t>
      </w:r>
      <w:r w:rsidR="006D45FA" w:rsidRPr="007A2C81">
        <w:rPr>
          <w:spacing w:val="-3"/>
          <w:szCs w:val="24"/>
        </w:rPr>
        <w:t>odal intuitions</w:t>
      </w:r>
      <w:r w:rsidR="00E47AB8">
        <w:rPr>
          <w:spacing w:val="-3"/>
          <w:szCs w:val="24"/>
        </w:rPr>
        <w:t xml:space="preserve"> about identities.</w:t>
      </w:r>
      <w:r w:rsidRPr="007A2C81">
        <w:rPr>
          <w:spacing w:val="-3"/>
          <w:szCs w:val="24"/>
        </w:rPr>
        <w:t xml:space="preserve"> </w:t>
      </w:r>
    </w:p>
    <w:p w:rsidR="00392892" w:rsidRPr="007A2C81" w:rsidRDefault="00392892" w:rsidP="00392892">
      <w:pPr>
        <w:ind w:firstLine="720"/>
        <w:rPr>
          <w:spacing w:val="-3"/>
          <w:szCs w:val="24"/>
        </w:rPr>
      </w:pPr>
    </w:p>
    <w:p w:rsidR="001B1220" w:rsidRPr="007A2C81" w:rsidRDefault="001B1220" w:rsidP="00392892">
      <w:pPr>
        <w:ind w:firstLine="720"/>
        <w:rPr>
          <w:spacing w:val="-3"/>
          <w:szCs w:val="24"/>
        </w:rPr>
      </w:pPr>
      <w:r w:rsidRPr="007A2C81">
        <w:rPr>
          <w:spacing w:val="-3"/>
          <w:szCs w:val="24"/>
        </w:rPr>
        <w:t>(C) Modal sentences like the following have a scope ambiguity:</w:t>
      </w:r>
    </w:p>
    <w:p w:rsidR="001B1220" w:rsidRPr="007A2C81" w:rsidRDefault="001B1220" w:rsidP="00BE5623">
      <w:pPr>
        <w:tabs>
          <w:tab w:val="left" w:pos="-720"/>
        </w:tabs>
        <w:suppressAutoHyphens/>
        <w:rPr>
          <w:spacing w:val="-3"/>
          <w:szCs w:val="24"/>
        </w:rPr>
      </w:pPr>
    </w:p>
    <w:p w:rsidR="001B1220" w:rsidRPr="007A2C81" w:rsidRDefault="001B1220" w:rsidP="00BE5623">
      <w:pPr>
        <w:tabs>
          <w:tab w:val="left" w:pos="-720"/>
          <w:tab w:val="left" w:pos="0"/>
          <w:tab w:val="left" w:pos="720"/>
        </w:tabs>
        <w:suppressAutoHyphens/>
        <w:ind w:left="1440" w:hanging="1440"/>
        <w:rPr>
          <w:spacing w:val="-3"/>
          <w:szCs w:val="24"/>
        </w:rPr>
      </w:pPr>
      <w:r w:rsidRPr="007A2C81">
        <w:rPr>
          <w:spacing w:val="-3"/>
          <w:szCs w:val="24"/>
        </w:rPr>
        <w:tab/>
        <w:t>(a) It might have been the case that the last great philosopher of antiquity was not a philosopher.</w:t>
      </w:r>
    </w:p>
    <w:p w:rsidR="001B1220" w:rsidRPr="007A2C81" w:rsidRDefault="001B1220" w:rsidP="00BE5623">
      <w:pPr>
        <w:tabs>
          <w:tab w:val="left" w:pos="-720"/>
          <w:tab w:val="left" w:pos="0"/>
          <w:tab w:val="left" w:pos="720"/>
        </w:tabs>
        <w:suppressAutoHyphens/>
        <w:ind w:left="1440" w:hanging="1440"/>
        <w:rPr>
          <w:spacing w:val="-3"/>
          <w:szCs w:val="24"/>
        </w:rPr>
      </w:pPr>
      <w:r w:rsidRPr="007A2C81">
        <w:rPr>
          <w:spacing w:val="-3"/>
          <w:szCs w:val="24"/>
        </w:rPr>
        <w:tab/>
        <w:t>(b) It might have been the case that Aristotle was not a philosopher</w:t>
      </w:r>
    </w:p>
    <w:p w:rsidR="001B1220" w:rsidRPr="007A2C81" w:rsidRDefault="001B1220" w:rsidP="00BE5623">
      <w:pPr>
        <w:tabs>
          <w:tab w:val="left" w:pos="-720"/>
        </w:tabs>
        <w:suppressAutoHyphens/>
        <w:rPr>
          <w:spacing w:val="-3"/>
          <w:szCs w:val="24"/>
        </w:rPr>
      </w:pPr>
    </w:p>
    <w:p w:rsidR="00392892" w:rsidRPr="007A2C81" w:rsidRDefault="001B1220" w:rsidP="00F32318">
      <w:pPr>
        <w:tabs>
          <w:tab w:val="left" w:pos="-720"/>
        </w:tabs>
        <w:suppressAutoHyphens/>
        <w:rPr>
          <w:spacing w:val="-3"/>
          <w:szCs w:val="24"/>
        </w:rPr>
      </w:pPr>
      <w:r w:rsidRPr="007A2C81">
        <w:rPr>
          <w:spacing w:val="-3"/>
          <w:szCs w:val="24"/>
        </w:rPr>
        <w:t xml:space="preserve">The scope of </w:t>
      </w:r>
      <w:r w:rsidR="00295CE0" w:rsidRPr="007A2C81">
        <w:rPr>
          <w:spacing w:val="-3"/>
          <w:szCs w:val="24"/>
        </w:rPr>
        <w:t>‘</w:t>
      </w:r>
      <w:r w:rsidRPr="007A2C81">
        <w:rPr>
          <w:spacing w:val="-3"/>
          <w:szCs w:val="24"/>
        </w:rPr>
        <w:t>the last great philosopher of antiquity</w:t>
      </w:r>
      <w:r w:rsidR="00295CE0" w:rsidRPr="007A2C81">
        <w:rPr>
          <w:spacing w:val="-3"/>
          <w:szCs w:val="24"/>
        </w:rPr>
        <w:t>’</w:t>
      </w:r>
      <w:r w:rsidRPr="007A2C81">
        <w:rPr>
          <w:spacing w:val="-3"/>
          <w:szCs w:val="24"/>
        </w:rPr>
        <w:t xml:space="preserve"> in (a) and </w:t>
      </w:r>
      <w:r w:rsidR="00295CE0" w:rsidRPr="007A2C81">
        <w:rPr>
          <w:spacing w:val="-3"/>
          <w:szCs w:val="24"/>
        </w:rPr>
        <w:t>‘</w:t>
      </w:r>
      <w:r w:rsidRPr="007A2C81">
        <w:rPr>
          <w:spacing w:val="-3"/>
          <w:szCs w:val="24"/>
        </w:rPr>
        <w:t>Aristotle</w:t>
      </w:r>
      <w:r w:rsidR="00295CE0" w:rsidRPr="007A2C81">
        <w:rPr>
          <w:spacing w:val="-3"/>
          <w:szCs w:val="24"/>
        </w:rPr>
        <w:t>’</w:t>
      </w:r>
      <w:r w:rsidRPr="007A2C81">
        <w:rPr>
          <w:spacing w:val="-3"/>
          <w:szCs w:val="24"/>
        </w:rPr>
        <w:t xml:space="preserve"> in (b) can be wide or narrow. But, Kripke claims, the two readings of (b) are equivalent but those of (a) are not. This </w:t>
      </w:r>
      <w:r w:rsidRPr="007A2C81">
        <w:rPr>
          <w:spacing w:val="-3"/>
          <w:szCs w:val="24"/>
        </w:rPr>
        <w:lastRenderedPageBreak/>
        <w:t>equivalence is a mark of t</w:t>
      </w:r>
      <w:r w:rsidR="00CA069B" w:rsidRPr="007A2C81">
        <w:rPr>
          <w:spacing w:val="-3"/>
          <w:szCs w:val="24"/>
        </w:rPr>
        <w:t xml:space="preserve">he rigidity of </w:t>
      </w:r>
      <w:r w:rsidR="00295CE0" w:rsidRPr="007A2C81">
        <w:rPr>
          <w:spacing w:val="-3"/>
          <w:szCs w:val="24"/>
        </w:rPr>
        <w:t>‘</w:t>
      </w:r>
      <w:r w:rsidR="00CA069B" w:rsidRPr="007A2C81">
        <w:rPr>
          <w:spacing w:val="-3"/>
          <w:szCs w:val="24"/>
        </w:rPr>
        <w:t>Aristotle</w:t>
      </w:r>
      <w:r w:rsidR="00295CE0" w:rsidRPr="007A2C81">
        <w:rPr>
          <w:spacing w:val="-3"/>
          <w:szCs w:val="24"/>
        </w:rPr>
        <w:t>’</w:t>
      </w:r>
      <w:r w:rsidR="00CA069B" w:rsidRPr="007A2C81">
        <w:rPr>
          <w:spacing w:val="-3"/>
          <w:szCs w:val="24"/>
        </w:rPr>
        <w:t xml:space="preserve"> (</w:t>
      </w:r>
      <w:r w:rsidRPr="007A2C81">
        <w:rPr>
          <w:spacing w:val="-3"/>
          <w:szCs w:val="24"/>
        </w:rPr>
        <w:t>10-12, 62).</w:t>
      </w:r>
      <w:r w:rsidR="00696BE3" w:rsidRPr="007A2C81">
        <w:rPr>
          <w:spacing w:val="-3"/>
          <w:szCs w:val="24"/>
        </w:rPr>
        <w:t xml:space="preserve"> </w:t>
      </w:r>
      <w:r w:rsidR="0053543E" w:rsidRPr="007A2C81">
        <w:rPr>
          <w:spacing w:val="-3"/>
          <w:szCs w:val="24"/>
        </w:rPr>
        <w:t>The argument rests on the view that being a philosopher is not an essential property of Aristotle.</w:t>
      </w:r>
    </w:p>
    <w:p w:rsidR="00392892" w:rsidRPr="007A2C81" w:rsidRDefault="00392892" w:rsidP="00F32318">
      <w:pPr>
        <w:tabs>
          <w:tab w:val="left" w:pos="-720"/>
        </w:tabs>
        <w:suppressAutoHyphens/>
        <w:rPr>
          <w:spacing w:val="-3"/>
          <w:szCs w:val="24"/>
        </w:rPr>
      </w:pPr>
    </w:p>
    <w:p w:rsidR="00956762" w:rsidRPr="007A2C81" w:rsidRDefault="00392892" w:rsidP="00F32318">
      <w:pPr>
        <w:tabs>
          <w:tab w:val="left" w:pos="-720"/>
        </w:tabs>
        <w:suppressAutoHyphens/>
        <w:rPr>
          <w:szCs w:val="24"/>
        </w:rPr>
      </w:pPr>
      <w:r w:rsidRPr="007A2C81">
        <w:rPr>
          <w:spacing w:val="-3"/>
          <w:szCs w:val="24"/>
        </w:rPr>
        <w:tab/>
      </w:r>
      <w:r w:rsidR="00956762" w:rsidRPr="007A2C81">
        <w:rPr>
          <w:szCs w:val="24"/>
        </w:rPr>
        <w:t>(D) Finally,</w:t>
      </w:r>
      <w:r w:rsidR="00F32318" w:rsidRPr="007A2C81">
        <w:rPr>
          <w:szCs w:val="24"/>
        </w:rPr>
        <w:t xml:space="preserve"> consider</w:t>
      </w:r>
      <w:r w:rsidR="00ED245B" w:rsidRPr="007A2C81">
        <w:rPr>
          <w:szCs w:val="24"/>
        </w:rPr>
        <w:t xml:space="preserve"> what seems to me the most important version</w:t>
      </w:r>
      <w:r w:rsidR="00956762" w:rsidRPr="007A2C81">
        <w:rPr>
          <w:szCs w:val="24"/>
        </w:rPr>
        <w:t xml:space="preserve"> of the Lost Rigidity argument</w:t>
      </w:r>
      <w:r w:rsidR="00ED245B" w:rsidRPr="007A2C81">
        <w:rPr>
          <w:szCs w:val="24"/>
        </w:rPr>
        <w:t>.</w:t>
      </w:r>
      <w:r w:rsidR="00AD2381" w:rsidRPr="007A2C81">
        <w:rPr>
          <w:rStyle w:val="FootnoteReference"/>
          <w:szCs w:val="24"/>
        </w:rPr>
        <w:footnoteReference w:id="24"/>
      </w:r>
      <w:r w:rsidR="00ED245B" w:rsidRPr="007A2C81">
        <w:rPr>
          <w:szCs w:val="24"/>
        </w:rPr>
        <w:t xml:space="preserve"> It</w:t>
      </w:r>
      <w:r w:rsidR="00956762" w:rsidRPr="007A2C81">
        <w:rPr>
          <w:szCs w:val="24"/>
        </w:rPr>
        <w:t xml:space="preserve"> first appeared in the Preface of </w:t>
      </w:r>
      <w:r w:rsidR="00956762" w:rsidRPr="007A2C81">
        <w:rPr>
          <w:i/>
          <w:szCs w:val="24"/>
        </w:rPr>
        <w:t>Naming and Necessity</w:t>
      </w:r>
      <w:r w:rsidR="00956762" w:rsidRPr="007A2C81">
        <w:rPr>
          <w:szCs w:val="24"/>
        </w:rPr>
        <w:t>.</w:t>
      </w:r>
      <w:r w:rsidR="00F32318" w:rsidRPr="007A2C81">
        <w:rPr>
          <w:szCs w:val="24"/>
        </w:rPr>
        <w:t xml:space="preserve"> Commenting on</w:t>
      </w:r>
    </w:p>
    <w:p w:rsidR="00F32318" w:rsidRPr="007A2C81" w:rsidRDefault="00F32318" w:rsidP="00F32318">
      <w:pPr>
        <w:tabs>
          <w:tab w:val="left" w:pos="-720"/>
        </w:tabs>
        <w:suppressAutoHyphens/>
        <w:rPr>
          <w:szCs w:val="24"/>
        </w:rPr>
      </w:pPr>
    </w:p>
    <w:p w:rsidR="00956762" w:rsidRPr="007A2C81" w:rsidRDefault="00F32318" w:rsidP="00956762">
      <w:pPr>
        <w:jc w:val="both"/>
        <w:rPr>
          <w:szCs w:val="24"/>
        </w:rPr>
      </w:pPr>
      <w:r w:rsidRPr="007A2C81">
        <w:rPr>
          <w:szCs w:val="24"/>
        </w:rPr>
        <w:tab/>
        <w:t>(1) Aristotle was fond of dogs,</w:t>
      </w:r>
    </w:p>
    <w:p w:rsidR="00956762" w:rsidRPr="007A2C81" w:rsidRDefault="00956762" w:rsidP="00956762">
      <w:pPr>
        <w:jc w:val="both"/>
        <w:rPr>
          <w:szCs w:val="24"/>
        </w:rPr>
      </w:pPr>
    </w:p>
    <w:p w:rsidR="00956762" w:rsidRPr="007A2C81" w:rsidRDefault="00956762" w:rsidP="00956762">
      <w:pPr>
        <w:jc w:val="both"/>
        <w:rPr>
          <w:szCs w:val="24"/>
        </w:rPr>
      </w:pPr>
      <w:r w:rsidRPr="007A2C81">
        <w:rPr>
          <w:szCs w:val="24"/>
        </w:rPr>
        <w:t>Kripke says,</w:t>
      </w:r>
    </w:p>
    <w:p w:rsidR="00956762" w:rsidRPr="007A2C81" w:rsidRDefault="00956762" w:rsidP="00956762">
      <w:pPr>
        <w:jc w:val="both"/>
        <w:rPr>
          <w:szCs w:val="24"/>
        </w:rPr>
      </w:pPr>
    </w:p>
    <w:p w:rsidR="00956762" w:rsidRPr="007A2C81" w:rsidRDefault="00956762" w:rsidP="00956762">
      <w:pPr>
        <w:ind w:left="720"/>
        <w:jc w:val="both"/>
        <w:rPr>
          <w:szCs w:val="24"/>
        </w:rPr>
      </w:pPr>
      <w:r w:rsidRPr="007A2C81">
        <w:rPr>
          <w:szCs w:val="24"/>
        </w:rPr>
        <w:t xml:space="preserve">Presumably everyone agrees that there is a certain man – the philosopher we call </w:t>
      </w:r>
      <w:r w:rsidR="00295CE0" w:rsidRPr="007A2C81">
        <w:rPr>
          <w:szCs w:val="24"/>
        </w:rPr>
        <w:t>‘</w:t>
      </w:r>
      <w:r w:rsidRPr="007A2C81">
        <w:rPr>
          <w:szCs w:val="24"/>
        </w:rPr>
        <w:t>Aristotle</w:t>
      </w:r>
      <w:r w:rsidR="00295CE0" w:rsidRPr="007A2C81">
        <w:rPr>
          <w:szCs w:val="24"/>
        </w:rPr>
        <w:t>’</w:t>
      </w:r>
      <w:r w:rsidRPr="007A2C81">
        <w:rPr>
          <w:szCs w:val="24"/>
        </w:rPr>
        <w:t xml:space="preserve"> – such that, as a matter of fact, (1) is true if and only if </w:t>
      </w:r>
      <w:r w:rsidRPr="007A2C81">
        <w:rPr>
          <w:i/>
          <w:szCs w:val="24"/>
        </w:rPr>
        <w:t>he</w:t>
      </w:r>
      <w:r w:rsidRPr="007A2C81">
        <w:rPr>
          <w:szCs w:val="24"/>
        </w:rPr>
        <w:t xml:space="preserve"> was fond of dogs. The thesis of rigid designation is simply…that the same paradigm applies to the truth conditions of (1) as it describes </w:t>
      </w:r>
      <w:r w:rsidRPr="007A2C81">
        <w:rPr>
          <w:i/>
          <w:szCs w:val="24"/>
        </w:rPr>
        <w:t>counterfactual</w:t>
      </w:r>
      <w:r w:rsidRPr="007A2C81">
        <w:rPr>
          <w:szCs w:val="24"/>
        </w:rPr>
        <w:t xml:space="preserve"> situations. That is, (1) truly describes a counterfactual situation if and only if the same aforementioned man would have been fond of dogs, h</w:t>
      </w:r>
      <w:r w:rsidR="00246A75" w:rsidRPr="007A2C81">
        <w:rPr>
          <w:szCs w:val="24"/>
        </w:rPr>
        <w:t>ad that situation obtained. (</w:t>
      </w:r>
      <w:r w:rsidRPr="007A2C81">
        <w:rPr>
          <w:szCs w:val="24"/>
        </w:rPr>
        <w:t>6)</w:t>
      </w:r>
    </w:p>
    <w:p w:rsidR="00956762" w:rsidRPr="007A2C81" w:rsidRDefault="00956762" w:rsidP="00956762">
      <w:pPr>
        <w:rPr>
          <w:szCs w:val="24"/>
        </w:rPr>
      </w:pPr>
    </w:p>
    <w:p w:rsidR="00956762" w:rsidRPr="007A2C81" w:rsidRDefault="00392892" w:rsidP="00956762">
      <w:pPr>
        <w:tabs>
          <w:tab w:val="left" w:pos="-720"/>
        </w:tabs>
        <w:suppressAutoHyphens/>
        <w:rPr>
          <w:spacing w:val="-3"/>
          <w:szCs w:val="24"/>
        </w:rPr>
      </w:pPr>
      <w:r w:rsidRPr="007A2C81">
        <w:rPr>
          <w:szCs w:val="24"/>
        </w:rPr>
        <w:t>Take the</w:t>
      </w:r>
      <w:r w:rsidR="00ED245B" w:rsidRPr="007A2C81">
        <w:rPr>
          <w:szCs w:val="24"/>
        </w:rPr>
        <w:t xml:space="preserve"> counter</w:t>
      </w:r>
      <w:r w:rsidR="00956762" w:rsidRPr="007A2C81">
        <w:rPr>
          <w:szCs w:val="24"/>
        </w:rPr>
        <w:t>factual situation</w:t>
      </w:r>
      <w:r w:rsidRPr="007A2C81">
        <w:rPr>
          <w:szCs w:val="24"/>
        </w:rPr>
        <w:t xml:space="preserve"> to be as follows. The</w:t>
      </w:r>
      <w:r w:rsidR="00956762" w:rsidRPr="007A2C81">
        <w:rPr>
          <w:szCs w:val="24"/>
        </w:rPr>
        <w:t xml:space="preserve"> person who actually grew up to be the famous philosopher we call </w:t>
      </w:r>
      <w:r w:rsidR="00295CE0" w:rsidRPr="007A2C81">
        <w:rPr>
          <w:szCs w:val="24"/>
        </w:rPr>
        <w:t>‘</w:t>
      </w:r>
      <w:r w:rsidR="00956762" w:rsidRPr="007A2C81">
        <w:rPr>
          <w:szCs w:val="24"/>
        </w:rPr>
        <w:t>Aristotle</w:t>
      </w:r>
      <w:r w:rsidR="00295CE0" w:rsidRPr="007A2C81">
        <w:rPr>
          <w:szCs w:val="24"/>
        </w:rPr>
        <w:t>’</w:t>
      </w:r>
      <w:r w:rsidR="00956762" w:rsidRPr="007A2C81">
        <w:rPr>
          <w:szCs w:val="24"/>
        </w:rPr>
        <w:t xml:space="preserve"> died as a teenager before studying any phi</w:t>
      </w:r>
      <w:r w:rsidR="00C93459" w:rsidRPr="007A2C81">
        <w:rPr>
          <w:szCs w:val="24"/>
        </w:rPr>
        <w:t>losophy. In those circumstances</w:t>
      </w:r>
      <w:r w:rsidR="00956762" w:rsidRPr="007A2C81">
        <w:rPr>
          <w:szCs w:val="24"/>
        </w:rPr>
        <w:t xml:space="preserve"> the last great philosopher of antiquity would be someone else, say Plato. </w:t>
      </w:r>
      <w:proofErr w:type="spellStart"/>
      <w:r w:rsidR="00956762" w:rsidRPr="007A2C81">
        <w:rPr>
          <w:szCs w:val="24"/>
        </w:rPr>
        <w:t>Kripke</w:t>
      </w:r>
      <w:r w:rsidR="00295CE0" w:rsidRPr="007A2C81">
        <w:rPr>
          <w:szCs w:val="24"/>
        </w:rPr>
        <w:t>’</w:t>
      </w:r>
      <w:r w:rsidR="00956762" w:rsidRPr="007A2C81">
        <w:rPr>
          <w:szCs w:val="24"/>
        </w:rPr>
        <w:t>s</w:t>
      </w:r>
      <w:proofErr w:type="spellEnd"/>
      <w:r w:rsidR="00F32318" w:rsidRPr="007A2C81">
        <w:rPr>
          <w:szCs w:val="24"/>
        </w:rPr>
        <w:t xml:space="preserve"> intuition is that </w:t>
      </w:r>
      <w:r w:rsidR="00956762" w:rsidRPr="007A2C81">
        <w:rPr>
          <w:szCs w:val="24"/>
        </w:rPr>
        <w:t>whe</w:t>
      </w:r>
      <w:r w:rsidRPr="007A2C81">
        <w:rPr>
          <w:szCs w:val="24"/>
        </w:rPr>
        <w:t xml:space="preserve">ther </w:t>
      </w:r>
      <w:r w:rsidRPr="007A2C81">
        <w:rPr>
          <w:i/>
          <w:szCs w:val="24"/>
        </w:rPr>
        <w:t>Aristotle</w:t>
      </w:r>
      <w:r w:rsidRPr="007A2C81">
        <w:rPr>
          <w:szCs w:val="24"/>
        </w:rPr>
        <w:t xml:space="preserve"> was fond of dogs, </w:t>
      </w:r>
      <w:r w:rsidRPr="007A2C81">
        <w:rPr>
          <w:i/>
          <w:szCs w:val="24"/>
        </w:rPr>
        <w:t>hence whether (1) is true</w:t>
      </w:r>
      <w:r w:rsidRPr="007A2C81">
        <w:rPr>
          <w:szCs w:val="24"/>
        </w:rPr>
        <w:t xml:space="preserve">, </w:t>
      </w:r>
      <w:r w:rsidR="00956762" w:rsidRPr="007A2C81">
        <w:rPr>
          <w:szCs w:val="24"/>
        </w:rPr>
        <w:t>depend</w:t>
      </w:r>
      <w:r w:rsidRPr="007A2C81">
        <w:rPr>
          <w:szCs w:val="24"/>
        </w:rPr>
        <w:t>s</w:t>
      </w:r>
      <w:r w:rsidR="00956762" w:rsidRPr="007A2C81">
        <w:rPr>
          <w:szCs w:val="24"/>
        </w:rPr>
        <w:t xml:space="preserve"> on whether </w:t>
      </w:r>
      <w:r w:rsidR="00956762" w:rsidRPr="007A2C81">
        <w:rPr>
          <w:i/>
          <w:szCs w:val="24"/>
        </w:rPr>
        <w:t>that teenager</w:t>
      </w:r>
      <w:r w:rsidR="00956762" w:rsidRPr="007A2C81">
        <w:rPr>
          <w:szCs w:val="24"/>
        </w:rPr>
        <w:t xml:space="preserve"> was fond of dogs not on whether </w:t>
      </w:r>
      <w:r w:rsidR="00956762" w:rsidRPr="007A2C81">
        <w:rPr>
          <w:i/>
          <w:szCs w:val="24"/>
        </w:rPr>
        <w:t>Plato</w:t>
      </w:r>
      <w:r w:rsidR="00956762" w:rsidRPr="007A2C81">
        <w:rPr>
          <w:szCs w:val="24"/>
        </w:rPr>
        <w:t xml:space="preserve"> was. So</w:t>
      </w:r>
      <w:r w:rsidRPr="007A2C81">
        <w:rPr>
          <w:szCs w:val="24"/>
        </w:rPr>
        <w:t>,</w:t>
      </w:r>
      <w:r w:rsidR="003D768E" w:rsidRPr="007A2C81">
        <w:rPr>
          <w:szCs w:val="24"/>
        </w:rPr>
        <w:t xml:space="preserve"> in that counterfactual situation,</w:t>
      </w:r>
      <w:r w:rsidR="00956762" w:rsidRPr="007A2C81">
        <w:rPr>
          <w:szCs w:val="24"/>
        </w:rPr>
        <w:t xml:space="preserve"> </w:t>
      </w:r>
      <w:r w:rsidR="00295CE0" w:rsidRPr="007A2C81">
        <w:rPr>
          <w:szCs w:val="24"/>
        </w:rPr>
        <w:t>‘</w:t>
      </w:r>
      <w:r w:rsidR="00956762" w:rsidRPr="007A2C81">
        <w:rPr>
          <w:szCs w:val="24"/>
        </w:rPr>
        <w:t>Aristotle</w:t>
      </w:r>
      <w:r w:rsidR="00295CE0" w:rsidRPr="007A2C81">
        <w:rPr>
          <w:szCs w:val="24"/>
        </w:rPr>
        <w:t>’</w:t>
      </w:r>
      <w:r w:rsidR="00956762" w:rsidRPr="007A2C81">
        <w:rPr>
          <w:szCs w:val="24"/>
        </w:rPr>
        <w:t xml:space="preserve"> in (1) refers to the teenager</w:t>
      </w:r>
      <w:r w:rsidR="003D768E" w:rsidRPr="007A2C81">
        <w:rPr>
          <w:szCs w:val="24"/>
        </w:rPr>
        <w:t>, who is our actual Aristotle, and not to</w:t>
      </w:r>
      <w:r w:rsidR="00956762" w:rsidRPr="007A2C81">
        <w:rPr>
          <w:szCs w:val="24"/>
        </w:rPr>
        <w:t xml:space="preserve"> Plato</w:t>
      </w:r>
      <w:r w:rsidR="003D768E" w:rsidRPr="007A2C81">
        <w:rPr>
          <w:szCs w:val="24"/>
        </w:rPr>
        <w:t xml:space="preserve">. So, </w:t>
      </w:r>
      <w:r w:rsidR="00295CE0" w:rsidRPr="007A2C81">
        <w:rPr>
          <w:szCs w:val="24"/>
        </w:rPr>
        <w:t>‘</w:t>
      </w:r>
      <w:r w:rsidR="003D768E" w:rsidRPr="007A2C81">
        <w:rPr>
          <w:szCs w:val="24"/>
        </w:rPr>
        <w:t>Aristotle</w:t>
      </w:r>
      <w:r w:rsidR="00295CE0" w:rsidRPr="007A2C81">
        <w:rPr>
          <w:szCs w:val="24"/>
        </w:rPr>
        <w:t>’</w:t>
      </w:r>
      <w:r w:rsidR="00956762" w:rsidRPr="007A2C81">
        <w:rPr>
          <w:szCs w:val="24"/>
        </w:rPr>
        <w:t xml:space="preserve"> is rigid. </w:t>
      </w:r>
      <w:proofErr w:type="spellStart"/>
      <w:r w:rsidR="0051702A" w:rsidRPr="007A2C81">
        <w:rPr>
          <w:szCs w:val="24"/>
        </w:rPr>
        <w:t>Kripke</w:t>
      </w:r>
      <w:r w:rsidR="00295CE0" w:rsidRPr="007A2C81">
        <w:rPr>
          <w:szCs w:val="24"/>
        </w:rPr>
        <w:t>’</w:t>
      </w:r>
      <w:r w:rsidR="0051702A" w:rsidRPr="007A2C81">
        <w:rPr>
          <w:szCs w:val="24"/>
        </w:rPr>
        <w:t>s</w:t>
      </w:r>
      <w:proofErr w:type="spellEnd"/>
      <w:r w:rsidR="0051702A" w:rsidRPr="007A2C81">
        <w:rPr>
          <w:szCs w:val="24"/>
        </w:rPr>
        <w:t xml:space="preserve"> intuition is about</w:t>
      </w:r>
      <w:r w:rsidR="00956762" w:rsidRPr="007A2C81">
        <w:rPr>
          <w:szCs w:val="24"/>
        </w:rPr>
        <w:t xml:space="preserve"> what is essential to Aristotle</w:t>
      </w:r>
      <w:r w:rsidR="0051702A" w:rsidRPr="007A2C81">
        <w:rPr>
          <w:szCs w:val="24"/>
        </w:rPr>
        <w:t>: being that teenager is essential,</w:t>
      </w:r>
      <w:r w:rsidR="00122E57" w:rsidRPr="007A2C81">
        <w:rPr>
          <w:szCs w:val="24"/>
        </w:rPr>
        <w:t xml:space="preserve"> </w:t>
      </w:r>
      <w:r w:rsidR="00956762" w:rsidRPr="007A2C81">
        <w:rPr>
          <w:szCs w:val="24"/>
        </w:rPr>
        <w:t>being the greatest philosopher of antiquity is not.</w:t>
      </w:r>
      <w:r w:rsidR="007F68D9" w:rsidRPr="007A2C81">
        <w:rPr>
          <w:rStyle w:val="FootnoteReference"/>
          <w:szCs w:val="24"/>
        </w:rPr>
        <w:footnoteReference w:id="25"/>
      </w:r>
    </w:p>
    <w:p w:rsidR="001B1220" w:rsidRPr="007A2C81" w:rsidRDefault="001B1220" w:rsidP="00BE5623">
      <w:pPr>
        <w:tabs>
          <w:tab w:val="left" w:pos="-720"/>
        </w:tabs>
        <w:suppressAutoHyphens/>
        <w:rPr>
          <w:spacing w:val="-3"/>
          <w:szCs w:val="24"/>
        </w:rPr>
      </w:pPr>
    </w:p>
    <w:p w:rsidR="00246A75" w:rsidRPr="007A2C81" w:rsidRDefault="00246A75" w:rsidP="00BE5623">
      <w:pPr>
        <w:tabs>
          <w:tab w:val="left" w:pos="-720"/>
        </w:tabs>
        <w:suppressAutoHyphens/>
        <w:rPr>
          <w:spacing w:val="-3"/>
          <w:szCs w:val="24"/>
        </w:rPr>
      </w:pPr>
      <w:r w:rsidRPr="007A2C81">
        <w:rPr>
          <w:spacing w:val="-3"/>
          <w:szCs w:val="24"/>
        </w:rPr>
        <w:tab/>
        <w:t xml:space="preserve">So </w:t>
      </w:r>
      <w:proofErr w:type="spellStart"/>
      <w:r w:rsidRPr="007A2C81">
        <w:rPr>
          <w:spacing w:val="-3"/>
          <w:szCs w:val="24"/>
        </w:rPr>
        <w:t>Kripke</w:t>
      </w:r>
      <w:r w:rsidR="00295CE0" w:rsidRPr="007A2C81">
        <w:rPr>
          <w:spacing w:val="-3"/>
          <w:szCs w:val="24"/>
        </w:rPr>
        <w:t>’</w:t>
      </w:r>
      <w:r w:rsidRPr="007A2C81">
        <w:rPr>
          <w:spacing w:val="-3"/>
          <w:szCs w:val="24"/>
        </w:rPr>
        <w:t>s</w:t>
      </w:r>
      <w:proofErr w:type="spellEnd"/>
      <w:r w:rsidRPr="007A2C81">
        <w:rPr>
          <w:spacing w:val="-3"/>
          <w:szCs w:val="24"/>
        </w:rPr>
        <w:t xml:space="preserve"> views about </w:t>
      </w:r>
      <w:r w:rsidR="00E47AB8">
        <w:rPr>
          <w:spacing w:val="-3"/>
          <w:szCs w:val="24"/>
        </w:rPr>
        <w:t>what is and is not essential to an individual</w:t>
      </w:r>
      <w:r w:rsidRPr="007A2C81">
        <w:rPr>
          <w:spacing w:val="-3"/>
          <w:szCs w:val="24"/>
        </w:rPr>
        <w:t xml:space="preserve"> underlie the Lost Rigidity argument. We shall have more to say</w:t>
      </w:r>
      <w:r w:rsidR="00A50F5F" w:rsidRPr="007A2C81">
        <w:rPr>
          <w:spacing w:val="-3"/>
          <w:szCs w:val="24"/>
        </w:rPr>
        <w:t xml:space="preserve"> about </w:t>
      </w:r>
      <w:r w:rsidR="00E47AB8">
        <w:rPr>
          <w:spacing w:val="-3"/>
          <w:szCs w:val="24"/>
        </w:rPr>
        <w:t>individual essentialism</w:t>
      </w:r>
      <w:r w:rsidR="00A50F5F" w:rsidRPr="007A2C81">
        <w:rPr>
          <w:spacing w:val="-3"/>
          <w:szCs w:val="24"/>
        </w:rPr>
        <w:t xml:space="preserve"> in section 8</w:t>
      </w:r>
      <w:r w:rsidRPr="007A2C81">
        <w:rPr>
          <w:spacing w:val="-3"/>
          <w:szCs w:val="24"/>
        </w:rPr>
        <w:t>.</w:t>
      </w:r>
    </w:p>
    <w:p w:rsidR="006A5855" w:rsidRPr="007A2C81" w:rsidRDefault="006A5855" w:rsidP="00BE5623">
      <w:pPr>
        <w:tabs>
          <w:tab w:val="left" w:pos="-720"/>
        </w:tabs>
        <w:suppressAutoHyphens/>
        <w:rPr>
          <w:spacing w:val="-3"/>
          <w:szCs w:val="24"/>
        </w:rPr>
      </w:pPr>
    </w:p>
    <w:p w:rsidR="005B4BD6" w:rsidRPr="007A2C81" w:rsidRDefault="00696BE3" w:rsidP="00BE5623">
      <w:pPr>
        <w:tabs>
          <w:tab w:val="left" w:pos="-720"/>
        </w:tabs>
        <w:suppressAutoHyphens/>
        <w:rPr>
          <w:spacing w:val="-3"/>
          <w:szCs w:val="24"/>
        </w:rPr>
      </w:pPr>
      <w:r w:rsidRPr="007A2C81">
        <w:rPr>
          <w:spacing w:val="-3"/>
          <w:szCs w:val="24"/>
        </w:rPr>
        <w:tab/>
        <w:t>(</w:t>
      </w:r>
      <w:r w:rsidR="006A5855" w:rsidRPr="007A2C81">
        <w:rPr>
          <w:spacing w:val="-3"/>
          <w:szCs w:val="24"/>
        </w:rPr>
        <w:t>I</w:t>
      </w:r>
      <w:r w:rsidR="00295CE0" w:rsidRPr="007A2C81">
        <w:rPr>
          <w:spacing w:val="-3"/>
          <w:szCs w:val="24"/>
        </w:rPr>
        <w:t>II</w:t>
      </w:r>
      <w:r w:rsidRPr="007A2C81">
        <w:rPr>
          <w:spacing w:val="-3"/>
          <w:szCs w:val="24"/>
        </w:rPr>
        <w:t xml:space="preserve">) </w:t>
      </w:r>
      <w:r w:rsidRPr="007A2C81">
        <w:rPr>
          <w:i/>
          <w:spacing w:val="-3"/>
          <w:szCs w:val="24"/>
        </w:rPr>
        <w:t>Natural Kind Terms and the Work of Rigidity</w:t>
      </w:r>
      <w:r w:rsidRPr="007A2C81">
        <w:rPr>
          <w:spacing w:val="-3"/>
          <w:szCs w:val="24"/>
        </w:rPr>
        <w:t>.</w:t>
      </w:r>
      <w:r w:rsidR="005B4BD6" w:rsidRPr="007A2C81">
        <w:rPr>
          <w:spacing w:val="-3"/>
          <w:szCs w:val="24"/>
        </w:rPr>
        <w:t xml:space="preserve"> Kripke argues that certain “natural kind” general terms are like proper names. He clearly thinks </w:t>
      </w:r>
      <w:r w:rsidR="002018F9" w:rsidRPr="007A2C81">
        <w:rPr>
          <w:spacing w:val="-3"/>
          <w:szCs w:val="24"/>
        </w:rPr>
        <w:t xml:space="preserve">that one way in which they are </w:t>
      </w:r>
      <w:r w:rsidR="005B4BD6" w:rsidRPr="007A2C81">
        <w:rPr>
          <w:spacing w:val="-3"/>
          <w:szCs w:val="24"/>
        </w:rPr>
        <w:t>like is in being rigid (127-36). The terms he has in mind are</w:t>
      </w:r>
    </w:p>
    <w:p w:rsidR="005B4BD6" w:rsidRPr="007A2C81" w:rsidRDefault="005B4BD6" w:rsidP="00BE5623">
      <w:pPr>
        <w:tabs>
          <w:tab w:val="left" w:pos="-720"/>
        </w:tabs>
        <w:suppressAutoHyphens/>
        <w:rPr>
          <w:spacing w:val="-3"/>
          <w:szCs w:val="24"/>
        </w:rPr>
      </w:pPr>
    </w:p>
    <w:p w:rsidR="005B4BD6" w:rsidRPr="007A2C81" w:rsidRDefault="005B4BD6" w:rsidP="00BE5623">
      <w:pPr>
        <w:tabs>
          <w:tab w:val="left" w:pos="-720"/>
        </w:tabs>
        <w:suppressAutoHyphens/>
        <w:ind w:left="720"/>
        <w:rPr>
          <w:spacing w:val="-3"/>
          <w:szCs w:val="24"/>
        </w:rPr>
      </w:pPr>
      <w:r w:rsidRPr="007A2C81">
        <w:rPr>
          <w:spacing w:val="-3"/>
          <w:szCs w:val="24"/>
        </w:rPr>
        <w:t xml:space="preserve">various species names, whether they are count nouns such as </w:t>
      </w:r>
      <w:r w:rsidR="00295CE0" w:rsidRPr="007A2C81">
        <w:rPr>
          <w:spacing w:val="-3"/>
          <w:szCs w:val="24"/>
        </w:rPr>
        <w:t>‘</w:t>
      </w:r>
      <w:r w:rsidRPr="007A2C81">
        <w:rPr>
          <w:spacing w:val="-3"/>
          <w:szCs w:val="24"/>
        </w:rPr>
        <w:t>cat</w:t>
      </w:r>
      <w:r w:rsidR="00295CE0" w:rsidRPr="007A2C81">
        <w:rPr>
          <w:spacing w:val="-3"/>
          <w:szCs w:val="24"/>
        </w:rPr>
        <w:t>’</w:t>
      </w:r>
      <w:r w:rsidRPr="007A2C81">
        <w:rPr>
          <w:spacing w:val="-3"/>
          <w:szCs w:val="24"/>
        </w:rPr>
        <w:t xml:space="preserve">, </w:t>
      </w:r>
      <w:r w:rsidR="00295CE0" w:rsidRPr="007A2C81">
        <w:rPr>
          <w:spacing w:val="-3"/>
          <w:szCs w:val="24"/>
        </w:rPr>
        <w:t>‘</w:t>
      </w:r>
      <w:r w:rsidRPr="007A2C81">
        <w:rPr>
          <w:spacing w:val="-3"/>
          <w:szCs w:val="24"/>
        </w:rPr>
        <w:t>tiger</w:t>
      </w:r>
      <w:r w:rsidR="00295CE0" w:rsidRPr="007A2C81">
        <w:rPr>
          <w:spacing w:val="-3"/>
          <w:szCs w:val="24"/>
        </w:rPr>
        <w:t>’</w:t>
      </w:r>
      <w:r w:rsidRPr="007A2C81">
        <w:rPr>
          <w:spacing w:val="-3"/>
          <w:szCs w:val="24"/>
        </w:rPr>
        <w:t xml:space="preserve">, </w:t>
      </w:r>
      <w:r w:rsidR="00295CE0" w:rsidRPr="007A2C81">
        <w:rPr>
          <w:spacing w:val="-3"/>
          <w:szCs w:val="24"/>
        </w:rPr>
        <w:t>‘</w:t>
      </w:r>
      <w:r w:rsidRPr="007A2C81">
        <w:rPr>
          <w:spacing w:val="-3"/>
          <w:szCs w:val="24"/>
        </w:rPr>
        <w:t>chunk of gold</w:t>
      </w:r>
      <w:r w:rsidR="00295CE0" w:rsidRPr="007A2C81">
        <w:rPr>
          <w:spacing w:val="-3"/>
          <w:szCs w:val="24"/>
        </w:rPr>
        <w:t>’</w:t>
      </w:r>
      <w:r w:rsidRPr="007A2C81">
        <w:rPr>
          <w:spacing w:val="-3"/>
          <w:szCs w:val="24"/>
        </w:rPr>
        <w:t xml:space="preserve">, or mass terms such as </w:t>
      </w:r>
      <w:r w:rsidR="00295CE0" w:rsidRPr="007A2C81">
        <w:rPr>
          <w:spacing w:val="-3"/>
          <w:szCs w:val="24"/>
        </w:rPr>
        <w:t>‘</w:t>
      </w:r>
      <w:r w:rsidRPr="007A2C81">
        <w:rPr>
          <w:spacing w:val="-3"/>
          <w:szCs w:val="24"/>
        </w:rPr>
        <w:t>gold</w:t>
      </w:r>
      <w:r w:rsidR="00295CE0" w:rsidRPr="007A2C81">
        <w:rPr>
          <w:spacing w:val="-3"/>
          <w:szCs w:val="24"/>
        </w:rPr>
        <w:t>’</w:t>
      </w:r>
      <w:r w:rsidRPr="007A2C81">
        <w:rPr>
          <w:spacing w:val="-3"/>
          <w:szCs w:val="24"/>
        </w:rPr>
        <w:t xml:space="preserve">, </w:t>
      </w:r>
      <w:r w:rsidR="00295CE0" w:rsidRPr="007A2C81">
        <w:rPr>
          <w:spacing w:val="-3"/>
          <w:szCs w:val="24"/>
        </w:rPr>
        <w:t>‘</w:t>
      </w:r>
      <w:r w:rsidRPr="007A2C81">
        <w:rPr>
          <w:spacing w:val="-3"/>
          <w:szCs w:val="24"/>
        </w:rPr>
        <w:t>water</w:t>
      </w:r>
      <w:r w:rsidR="00295CE0" w:rsidRPr="007A2C81">
        <w:rPr>
          <w:spacing w:val="-3"/>
          <w:szCs w:val="24"/>
        </w:rPr>
        <w:t>’</w:t>
      </w:r>
      <w:r w:rsidRPr="007A2C81">
        <w:rPr>
          <w:spacing w:val="-3"/>
          <w:szCs w:val="24"/>
        </w:rPr>
        <w:t xml:space="preserve">, </w:t>
      </w:r>
      <w:r w:rsidR="00295CE0" w:rsidRPr="007A2C81">
        <w:rPr>
          <w:spacing w:val="-3"/>
          <w:szCs w:val="24"/>
        </w:rPr>
        <w:t>‘</w:t>
      </w:r>
      <w:r w:rsidRPr="007A2C81">
        <w:rPr>
          <w:spacing w:val="-3"/>
          <w:szCs w:val="24"/>
        </w:rPr>
        <w:t>iron pyrites</w:t>
      </w:r>
      <w:r w:rsidR="00295CE0" w:rsidRPr="007A2C81">
        <w:rPr>
          <w:spacing w:val="-3"/>
          <w:szCs w:val="24"/>
        </w:rPr>
        <w:t>’</w:t>
      </w:r>
      <w:r w:rsidRPr="007A2C81">
        <w:rPr>
          <w:spacing w:val="-3"/>
          <w:szCs w:val="24"/>
        </w:rPr>
        <w:t xml:space="preserve">...certain term for natural phenomena, such as </w:t>
      </w:r>
      <w:r w:rsidR="00295CE0" w:rsidRPr="007A2C81">
        <w:rPr>
          <w:spacing w:val="-3"/>
          <w:szCs w:val="24"/>
        </w:rPr>
        <w:t>‘</w:t>
      </w:r>
      <w:r w:rsidRPr="007A2C81">
        <w:rPr>
          <w:spacing w:val="-3"/>
          <w:szCs w:val="24"/>
        </w:rPr>
        <w:t>heat</w:t>
      </w:r>
      <w:r w:rsidR="00295CE0" w:rsidRPr="007A2C81">
        <w:rPr>
          <w:spacing w:val="-3"/>
          <w:szCs w:val="24"/>
        </w:rPr>
        <w:t>’</w:t>
      </w:r>
      <w:r w:rsidRPr="007A2C81">
        <w:rPr>
          <w:spacing w:val="-3"/>
          <w:szCs w:val="24"/>
        </w:rPr>
        <w:t xml:space="preserve">, </w:t>
      </w:r>
      <w:r w:rsidR="00295CE0" w:rsidRPr="007A2C81">
        <w:rPr>
          <w:spacing w:val="-3"/>
          <w:szCs w:val="24"/>
        </w:rPr>
        <w:t>‘</w:t>
      </w:r>
      <w:r w:rsidRPr="007A2C81">
        <w:rPr>
          <w:spacing w:val="-3"/>
          <w:szCs w:val="24"/>
        </w:rPr>
        <w:t>light</w:t>
      </w:r>
      <w:r w:rsidR="00295CE0" w:rsidRPr="007A2C81">
        <w:rPr>
          <w:spacing w:val="-3"/>
          <w:szCs w:val="24"/>
        </w:rPr>
        <w:t>’</w:t>
      </w:r>
      <w:r w:rsidRPr="007A2C81">
        <w:rPr>
          <w:spacing w:val="-3"/>
          <w:szCs w:val="24"/>
        </w:rPr>
        <w:t xml:space="preserve">, </w:t>
      </w:r>
      <w:r w:rsidR="00295CE0" w:rsidRPr="007A2C81">
        <w:rPr>
          <w:spacing w:val="-3"/>
          <w:szCs w:val="24"/>
        </w:rPr>
        <w:t>‘</w:t>
      </w:r>
      <w:r w:rsidRPr="007A2C81">
        <w:rPr>
          <w:spacing w:val="-3"/>
          <w:szCs w:val="24"/>
        </w:rPr>
        <w:t>sound</w:t>
      </w:r>
      <w:r w:rsidR="00295CE0" w:rsidRPr="007A2C81">
        <w:rPr>
          <w:spacing w:val="-3"/>
          <w:szCs w:val="24"/>
        </w:rPr>
        <w:t>’</w:t>
      </w:r>
      <w:r w:rsidRPr="007A2C81">
        <w:rPr>
          <w:spacing w:val="-3"/>
          <w:szCs w:val="24"/>
        </w:rPr>
        <w:t xml:space="preserve">, </w:t>
      </w:r>
      <w:r w:rsidR="00295CE0" w:rsidRPr="007A2C81">
        <w:rPr>
          <w:spacing w:val="-3"/>
          <w:szCs w:val="24"/>
        </w:rPr>
        <w:t>‘</w:t>
      </w:r>
      <w:r w:rsidRPr="007A2C81">
        <w:rPr>
          <w:spacing w:val="-3"/>
          <w:szCs w:val="24"/>
        </w:rPr>
        <w:t>lightening</w:t>
      </w:r>
      <w:r w:rsidR="00295CE0" w:rsidRPr="007A2C81">
        <w:rPr>
          <w:spacing w:val="-3"/>
          <w:szCs w:val="24"/>
        </w:rPr>
        <w:t>’</w:t>
      </w:r>
      <w:r w:rsidRPr="007A2C81">
        <w:rPr>
          <w:spacing w:val="-3"/>
          <w:szCs w:val="24"/>
        </w:rPr>
        <w:t xml:space="preserve">, and, presumably, suitably </w:t>
      </w:r>
      <w:proofErr w:type="gramStart"/>
      <w:r w:rsidRPr="007A2C81">
        <w:rPr>
          <w:spacing w:val="-3"/>
          <w:szCs w:val="24"/>
        </w:rPr>
        <w:t>elaborated,...</w:t>
      </w:r>
      <w:proofErr w:type="gramEnd"/>
      <w:r w:rsidRPr="007A2C81">
        <w:rPr>
          <w:spacing w:val="-3"/>
          <w:szCs w:val="24"/>
        </w:rPr>
        <w:t xml:space="preserve">corresponding adjectives - </w:t>
      </w:r>
      <w:r w:rsidR="00295CE0" w:rsidRPr="007A2C81">
        <w:rPr>
          <w:spacing w:val="-3"/>
          <w:szCs w:val="24"/>
        </w:rPr>
        <w:t>‘</w:t>
      </w:r>
      <w:r w:rsidRPr="007A2C81">
        <w:rPr>
          <w:spacing w:val="-3"/>
          <w:szCs w:val="24"/>
        </w:rPr>
        <w:t>hot</w:t>
      </w:r>
      <w:r w:rsidR="00295CE0" w:rsidRPr="007A2C81">
        <w:rPr>
          <w:spacing w:val="-3"/>
          <w:szCs w:val="24"/>
        </w:rPr>
        <w:t>’</w:t>
      </w:r>
      <w:r w:rsidRPr="007A2C81">
        <w:rPr>
          <w:spacing w:val="-3"/>
          <w:szCs w:val="24"/>
        </w:rPr>
        <w:t xml:space="preserve">, </w:t>
      </w:r>
      <w:r w:rsidR="00295CE0" w:rsidRPr="007A2C81">
        <w:rPr>
          <w:spacing w:val="-3"/>
          <w:szCs w:val="24"/>
        </w:rPr>
        <w:t>‘</w:t>
      </w:r>
      <w:r w:rsidRPr="007A2C81">
        <w:rPr>
          <w:spacing w:val="-3"/>
          <w:szCs w:val="24"/>
        </w:rPr>
        <w:t>loud</w:t>
      </w:r>
      <w:r w:rsidR="00295CE0" w:rsidRPr="007A2C81">
        <w:rPr>
          <w:spacing w:val="-3"/>
          <w:szCs w:val="24"/>
        </w:rPr>
        <w:t>’</w:t>
      </w:r>
      <w:r w:rsidRPr="007A2C81">
        <w:rPr>
          <w:spacing w:val="-3"/>
          <w:szCs w:val="24"/>
        </w:rPr>
        <w:t xml:space="preserve">, </w:t>
      </w:r>
      <w:r w:rsidR="00295CE0" w:rsidRPr="007A2C81">
        <w:rPr>
          <w:spacing w:val="-3"/>
          <w:szCs w:val="24"/>
        </w:rPr>
        <w:t>‘</w:t>
      </w:r>
      <w:r w:rsidRPr="007A2C81">
        <w:rPr>
          <w:spacing w:val="-3"/>
          <w:szCs w:val="24"/>
        </w:rPr>
        <w:t>red</w:t>
      </w:r>
      <w:r w:rsidR="00295CE0" w:rsidRPr="007A2C81">
        <w:rPr>
          <w:spacing w:val="-3"/>
          <w:szCs w:val="24"/>
        </w:rPr>
        <w:t>’</w:t>
      </w:r>
      <w:r w:rsidRPr="007A2C81">
        <w:rPr>
          <w:spacing w:val="-3"/>
          <w:szCs w:val="24"/>
        </w:rPr>
        <w:t>. (134)</w:t>
      </w:r>
    </w:p>
    <w:p w:rsidR="006D7688" w:rsidRPr="007A2C81" w:rsidRDefault="006D7688" w:rsidP="00BE5623">
      <w:pPr>
        <w:tabs>
          <w:tab w:val="left" w:pos="-720"/>
        </w:tabs>
        <w:suppressAutoHyphens/>
        <w:rPr>
          <w:spacing w:val="-3"/>
          <w:szCs w:val="24"/>
        </w:rPr>
      </w:pPr>
    </w:p>
    <w:p w:rsidR="004F322D" w:rsidRPr="007A2C81" w:rsidRDefault="005B4BD6" w:rsidP="004F322D">
      <w:pPr>
        <w:tabs>
          <w:tab w:val="left" w:pos="-720"/>
        </w:tabs>
        <w:suppressAutoHyphens/>
        <w:rPr>
          <w:rFonts w:cs="Times New Roman"/>
          <w:szCs w:val="24"/>
        </w:rPr>
      </w:pPr>
      <w:r w:rsidRPr="007A2C81">
        <w:rPr>
          <w:spacing w:val="-3"/>
          <w:szCs w:val="24"/>
        </w:rPr>
        <w:t xml:space="preserve">Kripke does not offer a new definition of rigid designation for these terms and so </w:t>
      </w:r>
      <w:r w:rsidR="00565B07" w:rsidRPr="007A2C81">
        <w:rPr>
          <w:spacing w:val="-3"/>
          <w:szCs w:val="24"/>
        </w:rPr>
        <w:t>one might suppose</w:t>
      </w:r>
      <w:r w:rsidR="002018F9" w:rsidRPr="007A2C81">
        <w:rPr>
          <w:spacing w:val="-3"/>
          <w:szCs w:val="24"/>
        </w:rPr>
        <w:t xml:space="preserve"> that</w:t>
      </w:r>
      <w:r w:rsidRPr="007A2C81">
        <w:rPr>
          <w:spacing w:val="-3"/>
          <w:szCs w:val="24"/>
        </w:rPr>
        <w:t xml:space="preserve"> the old one should apply to them. But we wonder how it could. </w:t>
      </w:r>
      <w:r w:rsidR="00295CE0" w:rsidRPr="007A2C81">
        <w:rPr>
          <w:spacing w:val="-3"/>
          <w:szCs w:val="24"/>
        </w:rPr>
        <w:t>‘</w:t>
      </w:r>
      <w:r w:rsidRPr="007A2C81">
        <w:rPr>
          <w:spacing w:val="-3"/>
          <w:szCs w:val="24"/>
        </w:rPr>
        <w:t>Aristotle</w:t>
      </w:r>
      <w:r w:rsidR="00295CE0" w:rsidRPr="007A2C81">
        <w:rPr>
          <w:spacing w:val="-3"/>
          <w:szCs w:val="24"/>
        </w:rPr>
        <w:t>’</w:t>
      </w:r>
      <w:r w:rsidRPr="007A2C81">
        <w:rPr>
          <w:spacing w:val="-3"/>
          <w:szCs w:val="24"/>
        </w:rPr>
        <w:t xml:space="preserve"> and </w:t>
      </w:r>
      <w:r w:rsidR="00295CE0" w:rsidRPr="007A2C81">
        <w:rPr>
          <w:spacing w:val="-3"/>
          <w:szCs w:val="24"/>
        </w:rPr>
        <w:t>‘</w:t>
      </w:r>
      <w:r w:rsidRPr="007A2C81">
        <w:rPr>
          <w:spacing w:val="-3"/>
          <w:szCs w:val="24"/>
        </w:rPr>
        <w:t>the last great philosopher of antiquity</w:t>
      </w:r>
      <w:r w:rsidR="00295CE0" w:rsidRPr="007A2C81">
        <w:rPr>
          <w:spacing w:val="-3"/>
          <w:szCs w:val="24"/>
        </w:rPr>
        <w:t>’</w:t>
      </w:r>
      <w:r w:rsidRPr="007A2C81">
        <w:rPr>
          <w:spacing w:val="-3"/>
          <w:szCs w:val="24"/>
        </w:rPr>
        <w:t xml:space="preserve"> are singular terms designating a certain concrete entity and so it is easy to see how they can be rigid or </w:t>
      </w:r>
      <w:proofErr w:type="spellStart"/>
      <w:r w:rsidRPr="007A2C81">
        <w:rPr>
          <w:spacing w:val="-3"/>
          <w:szCs w:val="24"/>
        </w:rPr>
        <w:t>nonrigid</w:t>
      </w:r>
      <w:proofErr w:type="spellEnd"/>
      <w:r w:rsidRPr="007A2C81">
        <w:rPr>
          <w:spacing w:val="-3"/>
          <w:szCs w:val="24"/>
        </w:rPr>
        <w:t>. But the terms Kripke has in mind</w:t>
      </w:r>
      <w:r w:rsidR="000A6176">
        <w:rPr>
          <w:spacing w:val="-3"/>
          <w:szCs w:val="24"/>
        </w:rPr>
        <w:t xml:space="preserve"> here are not singular.</w:t>
      </w:r>
      <w:r w:rsidR="006D7688" w:rsidRPr="007A2C81">
        <w:rPr>
          <w:spacing w:val="-3"/>
          <w:szCs w:val="24"/>
        </w:rPr>
        <w:t xml:space="preserve"> What could they rigidly designate?</w:t>
      </w:r>
      <w:r w:rsidRPr="007A2C81">
        <w:rPr>
          <w:spacing w:val="-3"/>
          <w:szCs w:val="24"/>
        </w:rPr>
        <w:t xml:space="preserve"> </w:t>
      </w:r>
      <w:r w:rsidR="006D7688" w:rsidRPr="007A2C81">
        <w:rPr>
          <w:spacing w:val="-3"/>
          <w:szCs w:val="24"/>
        </w:rPr>
        <w:t>S</w:t>
      </w:r>
      <w:r w:rsidRPr="007A2C81">
        <w:rPr>
          <w:spacing w:val="-3"/>
          <w:szCs w:val="24"/>
        </w:rPr>
        <w:t xml:space="preserve">everal philosophers proposed that these terms rigidly designate </w:t>
      </w:r>
      <w:r w:rsidRPr="007A2C81">
        <w:rPr>
          <w:i/>
          <w:spacing w:val="-3"/>
          <w:szCs w:val="24"/>
        </w:rPr>
        <w:t>abstract</w:t>
      </w:r>
      <w:r w:rsidRPr="007A2C81">
        <w:rPr>
          <w:spacing w:val="-3"/>
          <w:szCs w:val="24"/>
        </w:rPr>
        <w:t xml:space="preserve"> objects of some sort, kinds, properties, or attributes.</w:t>
      </w:r>
      <w:r w:rsidRPr="007A2C81">
        <w:rPr>
          <w:spacing w:val="-3"/>
          <w:szCs w:val="24"/>
          <w:vertAlign w:val="superscript"/>
        </w:rPr>
        <w:footnoteReference w:id="26"/>
      </w:r>
      <w:r w:rsidRPr="007A2C81">
        <w:rPr>
          <w:spacing w:val="-3"/>
          <w:szCs w:val="24"/>
        </w:rPr>
        <w:t xml:space="preserve"> </w:t>
      </w:r>
      <w:r w:rsidR="001B110E" w:rsidRPr="007A2C81">
        <w:rPr>
          <w:spacing w:val="-3"/>
          <w:szCs w:val="24"/>
        </w:rPr>
        <w:t>I have</w:t>
      </w:r>
      <w:r w:rsidR="00BE5623" w:rsidRPr="007A2C81">
        <w:rPr>
          <w:spacing w:val="-3"/>
          <w:szCs w:val="24"/>
        </w:rPr>
        <w:t xml:space="preserve"> criticized</w:t>
      </w:r>
      <w:r w:rsidR="001B110E" w:rsidRPr="007A2C81">
        <w:rPr>
          <w:spacing w:val="-3"/>
          <w:szCs w:val="24"/>
        </w:rPr>
        <w:t xml:space="preserve"> such views (2005)</w:t>
      </w:r>
      <w:r w:rsidR="00754D55" w:rsidRPr="007A2C81">
        <w:rPr>
          <w:spacing w:val="-3"/>
          <w:szCs w:val="24"/>
        </w:rPr>
        <w:t>,</w:t>
      </w:r>
      <w:r w:rsidR="001B110E" w:rsidRPr="007A2C81">
        <w:rPr>
          <w:spacing w:val="-3"/>
          <w:szCs w:val="24"/>
        </w:rPr>
        <w:t xml:space="preserve"> as </w:t>
      </w:r>
      <w:r w:rsidR="00BE5623" w:rsidRPr="007A2C81">
        <w:rPr>
          <w:spacing w:val="-3"/>
          <w:szCs w:val="24"/>
        </w:rPr>
        <w:t>have</w:t>
      </w:r>
      <w:r w:rsidR="001B110E" w:rsidRPr="007A2C81">
        <w:rPr>
          <w:spacing w:val="-3"/>
          <w:szCs w:val="24"/>
        </w:rPr>
        <w:t xml:space="preserve"> many others.</w:t>
      </w:r>
      <w:r w:rsidR="00276A73" w:rsidRPr="007A2C81">
        <w:rPr>
          <w:rStyle w:val="FootnoteReference"/>
          <w:spacing w:val="-3"/>
          <w:szCs w:val="24"/>
        </w:rPr>
        <w:footnoteReference w:id="27"/>
      </w:r>
      <w:r w:rsidR="001B110E" w:rsidRPr="007A2C81">
        <w:rPr>
          <w:spacing w:val="-3"/>
          <w:szCs w:val="24"/>
        </w:rPr>
        <w:t xml:space="preserve"> But </w:t>
      </w:r>
      <w:r w:rsidR="00BE5623" w:rsidRPr="007A2C81">
        <w:rPr>
          <w:spacing w:val="-3"/>
          <w:szCs w:val="24"/>
        </w:rPr>
        <w:t xml:space="preserve">I do not go along with </w:t>
      </w:r>
      <w:r w:rsidR="001B110E" w:rsidRPr="007A2C81">
        <w:rPr>
          <w:spacing w:val="-3"/>
          <w:szCs w:val="24"/>
        </w:rPr>
        <w:t xml:space="preserve">a common theme </w:t>
      </w:r>
      <w:r w:rsidR="00BE5623" w:rsidRPr="007A2C81">
        <w:rPr>
          <w:spacing w:val="-3"/>
          <w:szCs w:val="24"/>
        </w:rPr>
        <w:t>of these criticisms</w:t>
      </w:r>
      <w:r w:rsidR="001B110E" w:rsidRPr="007A2C81">
        <w:rPr>
          <w:spacing w:val="-3"/>
          <w:szCs w:val="24"/>
        </w:rPr>
        <w:t xml:space="preserve">, </w:t>
      </w:r>
      <w:r w:rsidR="00BE5623" w:rsidRPr="007A2C81">
        <w:rPr>
          <w:spacing w:val="-3"/>
          <w:szCs w:val="24"/>
        </w:rPr>
        <w:t xml:space="preserve">a theme </w:t>
      </w:r>
      <w:r w:rsidR="001B110E" w:rsidRPr="007A2C81">
        <w:rPr>
          <w:spacing w:val="-3"/>
          <w:szCs w:val="24"/>
        </w:rPr>
        <w:t>vigorously urged by Stephen Sc</w:t>
      </w:r>
      <w:r w:rsidR="006A0DE9" w:rsidRPr="007A2C81">
        <w:rPr>
          <w:spacing w:val="-3"/>
          <w:szCs w:val="24"/>
        </w:rPr>
        <w:t>h</w:t>
      </w:r>
      <w:r w:rsidR="001B110E" w:rsidRPr="007A2C81">
        <w:rPr>
          <w:spacing w:val="-3"/>
          <w:szCs w:val="24"/>
        </w:rPr>
        <w:t>wartz</w:t>
      </w:r>
      <w:r w:rsidR="006A0DE9" w:rsidRPr="007A2C81">
        <w:rPr>
          <w:spacing w:val="-3"/>
          <w:szCs w:val="24"/>
        </w:rPr>
        <w:t xml:space="preserve"> (</w:t>
      </w:r>
      <w:r w:rsidR="00276A73" w:rsidRPr="007A2C81">
        <w:rPr>
          <w:spacing w:val="-3"/>
          <w:szCs w:val="24"/>
        </w:rPr>
        <w:t xml:space="preserve">1977, 1980, </w:t>
      </w:r>
      <w:r w:rsidR="006A0DE9" w:rsidRPr="007A2C81">
        <w:rPr>
          <w:spacing w:val="-3"/>
          <w:szCs w:val="24"/>
        </w:rPr>
        <w:t>2002, 2020)</w:t>
      </w:r>
      <w:r w:rsidR="00BE5623" w:rsidRPr="007A2C81">
        <w:rPr>
          <w:spacing w:val="-3"/>
          <w:szCs w:val="24"/>
        </w:rPr>
        <w:t>. According to Schwartz,</w:t>
      </w:r>
      <w:r w:rsidR="004F322D" w:rsidRPr="007A2C81">
        <w:rPr>
          <w:spacing w:val="-3"/>
          <w:szCs w:val="24"/>
        </w:rPr>
        <w:t xml:space="preserve"> an acceptable notion of rigidity must do the theoretical work of distinguishing</w:t>
      </w:r>
      <w:r w:rsidRPr="007A2C81">
        <w:rPr>
          <w:spacing w:val="-3"/>
          <w:szCs w:val="24"/>
        </w:rPr>
        <w:t xml:space="preserve"> natural kind terms </w:t>
      </w:r>
      <w:r w:rsidR="006A0DE9" w:rsidRPr="007A2C81">
        <w:rPr>
          <w:spacing w:val="-3"/>
          <w:szCs w:val="24"/>
        </w:rPr>
        <w:t xml:space="preserve">from </w:t>
      </w:r>
      <w:proofErr w:type="spellStart"/>
      <w:r w:rsidRPr="007A2C81">
        <w:rPr>
          <w:spacing w:val="-3"/>
          <w:szCs w:val="24"/>
        </w:rPr>
        <w:t>nonnatural</w:t>
      </w:r>
      <w:proofErr w:type="spellEnd"/>
      <w:r w:rsidRPr="007A2C81">
        <w:rPr>
          <w:spacing w:val="-3"/>
          <w:szCs w:val="24"/>
        </w:rPr>
        <w:t xml:space="preserve"> ones</w:t>
      </w:r>
      <w:r w:rsidR="00BE5623" w:rsidRPr="007A2C81">
        <w:rPr>
          <w:spacing w:val="-3"/>
          <w:szCs w:val="24"/>
        </w:rPr>
        <w:t xml:space="preserve"> like </w:t>
      </w:r>
      <w:r w:rsidR="00295CE0" w:rsidRPr="007A2C81">
        <w:rPr>
          <w:spacing w:val="-3"/>
          <w:szCs w:val="24"/>
        </w:rPr>
        <w:t>‘</w:t>
      </w:r>
      <w:r w:rsidR="00BE5623" w:rsidRPr="007A2C81">
        <w:rPr>
          <w:spacing w:val="-3"/>
          <w:szCs w:val="24"/>
        </w:rPr>
        <w:t>pencil</w:t>
      </w:r>
      <w:r w:rsidR="00295CE0" w:rsidRPr="007A2C81">
        <w:rPr>
          <w:spacing w:val="-3"/>
          <w:szCs w:val="24"/>
        </w:rPr>
        <w:t>’</w:t>
      </w:r>
      <w:r w:rsidR="00BE5623" w:rsidRPr="007A2C81">
        <w:rPr>
          <w:spacing w:val="-3"/>
          <w:szCs w:val="24"/>
        </w:rPr>
        <w:t xml:space="preserve">, </w:t>
      </w:r>
      <w:r w:rsidR="00295CE0" w:rsidRPr="007A2C81">
        <w:rPr>
          <w:spacing w:val="-3"/>
          <w:szCs w:val="24"/>
        </w:rPr>
        <w:t>‘</w:t>
      </w:r>
      <w:r w:rsidR="00BE5623" w:rsidRPr="007A2C81">
        <w:rPr>
          <w:spacing w:val="-3"/>
          <w:szCs w:val="24"/>
        </w:rPr>
        <w:t>hunter</w:t>
      </w:r>
      <w:r w:rsidR="00295CE0" w:rsidRPr="007A2C81">
        <w:rPr>
          <w:spacing w:val="-3"/>
          <w:szCs w:val="24"/>
        </w:rPr>
        <w:t>’</w:t>
      </w:r>
      <w:r w:rsidR="00BE5623" w:rsidRPr="007A2C81">
        <w:rPr>
          <w:spacing w:val="-3"/>
          <w:szCs w:val="24"/>
        </w:rPr>
        <w:t xml:space="preserve">, and </w:t>
      </w:r>
      <w:r w:rsidR="00295CE0" w:rsidRPr="007A2C81">
        <w:rPr>
          <w:spacing w:val="-3"/>
          <w:szCs w:val="24"/>
        </w:rPr>
        <w:t>‘</w:t>
      </w:r>
      <w:r w:rsidR="00BE5623" w:rsidRPr="007A2C81">
        <w:rPr>
          <w:spacing w:val="-3"/>
          <w:szCs w:val="24"/>
        </w:rPr>
        <w:t>bachelor</w:t>
      </w:r>
      <w:r w:rsidR="00295CE0" w:rsidRPr="007A2C81">
        <w:rPr>
          <w:spacing w:val="-3"/>
          <w:szCs w:val="24"/>
        </w:rPr>
        <w:t>’</w:t>
      </w:r>
      <w:r w:rsidRPr="007A2C81">
        <w:rPr>
          <w:spacing w:val="-3"/>
          <w:szCs w:val="24"/>
        </w:rPr>
        <w:t>.</w:t>
      </w:r>
      <w:r w:rsidR="004F322D" w:rsidRPr="007A2C81">
        <w:rPr>
          <w:spacing w:val="-3"/>
          <w:szCs w:val="24"/>
        </w:rPr>
        <w:t xml:space="preserve"> The abstract-object views fail to do this work.</w:t>
      </w:r>
      <w:r w:rsidR="00E12731" w:rsidRPr="007A2C81">
        <w:rPr>
          <w:rFonts w:cs="Times New Roman"/>
          <w:szCs w:val="24"/>
        </w:rPr>
        <w:tab/>
      </w:r>
    </w:p>
    <w:p w:rsidR="004F322D" w:rsidRPr="007A2C81" w:rsidRDefault="004F322D" w:rsidP="004F322D">
      <w:pPr>
        <w:tabs>
          <w:tab w:val="left" w:pos="-720"/>
        </w:tabs>
        <w:suppressAutoHyphens/>
        <w:rPr>
          <w:rFonts w:cs="Times New Roman"/>
          <w:szCs w:val="24"/>
        </w:rPr>
      </w:pPr>
    </w:p>
    <w:p w:rsidR="002B16A3" w:rsidRPr="007A2C81" w:rsidRDefault="004F322D" w:rsidP="002B16A3">
      <w:pPr>
        <w:tabs>
          <w:tab w:val="left" w:pos="-720"/>
        </w:tabs>
        <w:suppressAutoHyphens/>
        <w:rPr>
          <w:rFonts w:cstheme="minorHAnsi"/>
          <w:spacing w:val="-3"/>
          <w:szCs w:val="24"/>
        </w:rPr>
      </w:pPr>
      <w:r w:rsidRPr="007A2C81">
        <w:rPr>
          <w:rFonts w:cs="Times New Roman"/>
          <w:szCs w:val="24"/>
        </w:rPr>
        <w:tab/>
      </w:r>
      <w:r w:rsidR="006A0DE9" w:rsidRPr="007A2C81">
        <w:rPr>
          <w:rFonts w:cs="Times New Roman"/>
          <w:szCs w:val="24"/>
        </w:rPr>
        <w:t xml:space="preserve">I very much agree with </w:t>
      </w:r>
      <w:r w:rsidR="00E12731" w:rsidRPr="007A2C81">
        <w:rPr>
          <w:rFonts w:cs="Times New Roman"/>
          <w:szCs w:val="24"/>
        </w:rPr>
        <w:t xml:space="preserve">Schwartz </w:t>
      </w:r>
      <w:r w:rsidR="006A0DE9" w:rsidRPr="007A2C81">
        <w:rPr>
          <w:rFonts w:cs="Times New Roman"/>
          <w:szCs w:val="24"/>
        </w:rPr>
        <w:t>that</w:t>
      </w:r>
      <w:r w:rsidR="00E12731" w:rsidRPr="007A2C81">
        <w:rPr>
          <w:rFonts w:cs="Times New Roman"/>
          <w:szCs w:val="24"/>
        </w:rPr>
        <w:t xml:space="preserve"> a notion of rigidity must do theoretical work</w:t>
      </w:r>
      <w:r w:rsidR="002018F9" w:rsidRPr="007A2C81">
        <w:rPr>
          <w:rFonts w:cs="Times New Roman"/>
          <w:szCs w:val="24"/>
        </w:rPr>
        <w:t xml:space="preserve"> but that</w:t>
      </w:r>
      <w:r w:rsidRPr="007A2C81">
        <w:rPr>
          <w:rFonts w:cs="Times New Roman"/>
          <w:szCs w:val="24"/>
        </w:rPr>
        <w:t xml:space="preserve"> is not the work it must do.</w:t>
      </w:r>
      <w:r w:rsidRPr="007A2C81">
        <w:rPr>
          <w:rFonts w:cstheme="minorHAnsi"/>
          <w:spacing w:val="-3"/>
          <w:szCs w:val="24"/>
        </w:rPr>
        <w:t xml:space="preserve"> The</w:t>
      </w:r>
      <w:r w:rsidR="006A41E9" w:rsidRPr="007A2C81">
        <w:rPr>
          <w:rFonts w:cstheme="minorHAnsi"/>
          <w:spacing w:val="-3"/>
          <w:szCs w:val="24"/>
        </w:rPr>
        <w:t xml:space="preserve"> primary</w:t>
      </w:r>
      <w:r w:rsidRPr="007A2C81">
        <w:rPr>
          <w:rFonts w:cstheme="minorHAnsi"/>
          <w:spacing w:val="-3"/>
          <w:szCs w:val="24"/>
        </w:rPr>
        <w:t xml:space="preserve"> work</w:t>
      </w:r>
      <w:r w:rsidR="005832C0" w:rsidRPr="007A2C81">
        <w:rPr>
          <w:rFonts w:cstheme="minorHAnsi"/>
          <w:spacing w:val="-3"/>
          <w:szCs w:val="24"/>
        </w:rPr>
        <w:t xml:space="preserve"> </w:t>
      </w:r>
      <w:r w:rsidR="006A41E9" w:rsidRPr="007A2C81">
        <w:rPr>
          <w:rFonts w:cstheme="minorHAnsi"/>
          <w:spacing w:val="-3"/>
          <w:szCs w:val="24"/>
        </w:rPr>
        <w:t xml:space="preserve">that </w:t>
      </w:r>
      <w:r w:rsidR="005832C0" w:rsidRPr="007A2C81">
        <w:rPr>
          <w:rFonts w:cstheme="minorHAnsi"/>
          <w:spacing w:val="-3"/>
          <w:szCs w:val="24"/>
        </w:rPr>
        <w:t>Kripke gave</w:t>
      </w:r>
      <w:r w:rsidR="006A41E9" w:rsidRPr="007A2C81">
        <w:rPr>
          <w:rFonts w:cstheme="minorHAnsi"/>
          <w:spacing w:val="-3"/>
          <w:szCs w:val="24"/>
        </w:rPr>
        <w:t xml:space="preserve"> to</w:t>
      </w:r>
      <w:r w:rsidR="005832C0" w:rsidRPr="007A2C81">
        <w:rPr>
          <w:rFonts w:cstheme="minorHAnsi"/>
          <w:spacing w:val="-3"/>
          <w:szCs w:val="24"/>
        </w:rPr>
        <w:t xml:space="preserve"> rigidity, as we have </w:t>
      </w:r>
      <w:r w:rsidR="002B16A3" w:rsidRPr="007A2C81">
        <w:rPr>
          <w:rFonts w:cstheme="minorHAnsi"/>
          <w:spacing w:val="-3"/>
          <w:szCs w:val="24"/>
        </w:rPr>
        <w:t xml:space="preserve">just </w:t>
      </w:r>
      <w:r w:rsidR="005832C0" w:rsidRPr="007A2C81">
        <w:rPr>
          <w:rFonts w:cstheme="minorHAnsi"/>
          <w:spacing w:val="-3"/>
          <w:szCs w:val="24"/>
        </w:rPr>
        <w:t>seen</w:t>
      </w:r>
      <w:r w:rsidR="00754D55" w:rsidRPr="007A2C81">
        <w:rPr>
          <w:rFonts w:cstheme="minorHAnsi"/>
          <w:spacing w:val="-3"/>
          <w:szCs w:val="24"/>
        </w:rPr>
        <w:t xml:space="preserve"> and I have argued (2005)</w:t>
      </w:r>
      <w:r w:rsidR="005832C0" w:rsidRPr="007A2C81">
        <w:rPr>
          <w:rFonts w:cstheme="minorHAnsi"/>
          <w:spacing w:val="-3"/>
          <w:szCs w:val="24"/>
        </w:rPr>
        <w:t xml:space="preserve">, was </w:t>
      </w:r>
      <w:r w:rsidRPr="007A2C81">
        <w:rPr>
          <w:rFonts w:cstheme="minorHAnsi"/>
          <w:spacing w:val="-3"/>
          <w:szCs w:val="24"/>
        </w:rPr>
        <w:t xml:space="preserve">featuring in </w:t>
      </w:r>
      <w:r w:rsidR="006A41E9" w:rsidRPr="007A2C81">
        <w:rPr>
          <w:rFonts w:cstheme="minorHAnsi"/>
          <w:spacing w:val="-3"/>
          <w:szCs w:val="24"/>
        </w:rPr>
        <w:t>Lost Rigidity</w:t>
      </w:r>
      <w:r w:rsidRPr="007A2C81">
        <w:rPr>
          <w:rFonts w:cstheme="minorHAnsi"/>
          <w:spacing w:val="-3"/>
          <w:szCs w:val="24"/>
        </w:rPr>
        <w:t xml:space="preserve"> arguments against description theorie</w:t>
      </w:r>
      <w:r w:rsidR="005832C0" w:rsidRPr="007A2C81">
        <w:rPr>
          <w:rFonts w:cstheme="minorHAnsi"/>
          <w:spacing w:val="-3"/>
          <w:szCs w:val="24"/>
        </w:rPr>
        <w:t>s of meaning</w:t>
      </w:r>
      <w:r w:rsidRPr="007A2C81">
        <w:rPr>
          <w:rFonts w:cstheme="minorHAnsi"/>
          <w:spacing w:val="-3"/>
          <w:szCs w:val="24"/>
        </w:rPr>
        <w:t>.</w:t>
      </w:r>
      <w:r w:rsidR="005832C0" w:rsidRPr="007A2C81">
        <w:rPr>
          <w:rFonts w:cstheme="minorHAnsi"/>
          <w:spacing w:val="-3"/>
          <w:szCs w:val="24"/>
        </w:rPr>
        <w:t xml:space="preserve"> That is the work that an acceptable notion of rigidity must do.</w:t>
      </w:r>
      <w:r w:rsidR="002B16A3" w:rsidRPr="007A2C81">
        <w:rPr>
          <w:rFonts w:cstheme="minorHAnsi"/>
          <w:spacing w:val="-3"/>
          <w:szCs w:val="24"/>
        </w:rPr>
        <w:t xml:space="preserve"> And one problem with abstract-object views is that they fail to do that.</w:t>
      </w:r>
    </w:p>
    <w:p w:rsidR="002B16A3" w:rsidRPr="007A2C81" w:rsidRDefault="002B16A3" w:rsidP="002B16A3">
      <w:pPr>
        <w:tabs>
          <w:tab w:val="left" w:pos="-720"/>
        </w:tabs>
        <w:suppressAutoHyphens/>
        <w:rPr>
          <w:rFonts w:cstheme="minorHAnsi"/>
          <w:spacing w:val="-3"/>
          <w:szCs w:val="24"/>
        </w:rPr>
      </w:pPr>
    </w:p>
    <w:p w:rsidR="005832C0" w:rsidRPr="007A2C81" w:rsidRDefault="002B16A3" w:rsidP="001F2836">
      <w:pPr>
        <w:tabs>
          <w:tab w:val="left" w:pos="-720"/>
        </w:tabs>
        <w:suppressAutoHyphens/>
        <w:rPr>
          <w:rFonts w:cstheme="minorHAnsi"/>
          <w:spacing w:val="-3"/>
          <w:szCs w:val="24"/>
        </w:rPr>
      </w:pPr>
      <w:r w:rsidRPr="007A2C81">
        <w:rPr>
          <w:rFonts w:cstheme="minorHAnsi"/>
          <w:spacing w:val="-3"/>
          <w:szCs w:val="24"/>
        </w:rPr>
        <w:tab/>
        <w:t>It is true that</w:t>
      </w:r>
      <w:r w:rsidR="005832C0" w:rsidRPr="007A2C81">
        <w:rPr>
          <w:spacing w:val="-3"/>
          <w:szCs w:val="24"/>
        </w:rPr>
        <w:t xml:space="preserve"> </w:t>
      </w:r>
      <w:proofErr w:type="spellStart"/>
      <w:r w:rsidR="005832C0" w:rsidRPr="007A2C81">
        <w:rPr>
          <w:spacing w:val="-3"/>
          <w:szCs w:val="24"/>
        </w:rPr>
        <w:t>Kripke</w:t>
      </w:r>
      <w:r w:rsidR="00295CE0" w:rsidRPr="007A2C81">
        <w:rPr>
          <w:spacing w:val="-3"/>
          <w:szCs w:val="24"/>
        </w:rPr>
        <w:t>’</w:t>
      </w:r>
      <w:r w:rsidR="005832C0" w:rsidRPr="007A2C81">
        <w:rPr>
          <w:spacing w:val="-3"/>
          <w:szCs w:val="24"/>
        </w:rPr>
        <w:t>s</w:t>
      </w:r>
      <w:proofErr w:type="spellEnd"/>
      <w:r w:rsidR="005832C0" w:rsidRPr="007A2C81">
        <w:rPr>
          <w:spacing w:val="-3"/>
          <w:szCs w:val="24"/>
        </w:rPr>
        <w:t xml:space="preserve"> favorite examples of rigid kind terms are (arguably) natural kind terms. Still, Kripke does not claim that all natural kind terms are rigid nor that all non-natural ones are non-rigid. Indeed, he thinks that “presumably, suitably elaborat</w:t>
      </w:r>
      <w:r w:rsidRPr="007A2C81">
        <w:rPr>
          <w:spacing w:val="-3"/>
          <w:szCs w:val="24"/>
        </w:rPr>
        <w:t>ed…</w:t>
      </w:r>
      <w:r w:rsidR="00295CE0" w:rsidRPr="007A2C81">
        <w:rPr>
          <w:spacing w:val="-3"/>
          <w:szCs w:val="24"/>
        </w:rPr>
        <w:t>’</w:t>
      </w:r>
      <w:r w:rsidRPr="007A2C81">
        <w:rPr>
          <w:spacing w:val="-3"/>
          <w:szCs w:val="24"/>
        </w:rPr>
        <w:t>hot</w:t>
      </w:r>
      <w:r w:rsidR="00295CE0" w:rsidRPr="007A2C81">
        <w:rPr>
          <w:spacing w:val="-3"/>
          <w:szCs w:val="24"/>
        </w:rPr>
        <w:t>’</w:t>
      </w:r>
      <w:r w:rsidRPr="007A2C81">
        <w:rPr>
          <w:spacing w:val="-3"/>
          <w:szCs w:val="24"/>
        </w:rPr>
        <w:t xml:space="preserve">, </w:t>
      </w:r>
      <w:r w:rsidR="00295CE0" w:rsidRPr="007A2C81">
        <w:rPr>
          <w:spacing w:val="-3"/>
          <w:szCs w:val="24"/>
        </w:rPr>
        <w:t>‘</w:t>
      </w:r>
      <w:r w:rsidRPr="007A2C81">
        <w:rPr>
          <w:spacing w:val="-3"/>
          <w:szCs w:val="24"/>
        </w:rPr>
        <w:t>loud</w:t>
      </w:r>
      <w:r w:rsidR="00295CE0" w:rsidRPr="007A2C81">
        <w:rPr>
          <w:spacing w:val="-3"/>
          <w:szCs w:val="24"/>
        </w:rPr>
        <w:t>’</w:t>
      </w:r>
      <w:r w:rsidRPr="007A2C81">
        <w:rPr>
          <w:spacing w:val="-3"/>
          <w:szCs w:val="24"/>
        </w:rPr>
        <w:t xml:space="preserve">, </w:t>
      </w:r>
      <w:r w:rsidR="00295CE0" w:rsidRPr="007A2C81">
        <w:rPr>
          <w:spacing w:val="-3"/>
          <w:szCs w:val="24"/>
        </w:rPr>
        <w:t>‘</w:t>
      </w:r>
      <w:r w:rsidRPr="007A2C81">
        <w:rPr>
          <w:spacing w:val="-3"/>
          <w:szCs w:val="24"/>
        </w:rPr>
        <w:t>red</w:t>
      </w:r>
      <w:r w:rsidR="00295CE0" w:rsidRPr="007A2C81">
        <w:rPr>
          <w:spacing w:val="-3"/>
          <w:szCs w:val="24"/>
        </w:rPr>
        <w:t>’</w:t>
      </w:r>
      <w:r w:rsidRPr="007A2C81">
        <w:rPr>
          <w:spacing w:val="-3"/>
          <w:szCs w:val="24"/>
        </w:rPr>
        <w:t>” (</w:t>
      </w:r>
      <w:r w:rsidR="005832C0" w:rsidRPr="007A2C81">
        <w:rPr>
          <w:spacing w:val="-3"/>
          <w:szCs w:val="24"/>
        </w:rPr>
        <w:t>134) are among the rigid ones; see also t</w:t>
      </w:r>
      <w:r w:rsidR="00754D55" w:rsidRPr="007A2C81">
        <w:rPr>
          <w:spacing w:val="-3"/>
          <w:szCs w:val="24"/>
        </w:rPr>
        <w:t>he discussion of yellowness (</w:t>
      </w:r>
      <w:r w:rsidR="005832C0" w:rsidRPr="007A2C81">
        <w:rPr>
          <w:spacing w:val="-3"/>
          <w:szCs w:val="24"/>
        </w:rPr>
        <w:t>128n).</w:t>
      </w:r>
      <w:r w:rsidRPr="007A2C81">
        <w:rPr>
          <w:rFonts w:cs="Times New Roman"/>
          <w:szCs w:val="24"/>
        </w:rPr>
        <w:t xml:space="preserve"> Furthermore</w:t>
      </w:r>
      <w:r w:rsidR="00F50668" w:rsidRPr="007A2C81">
        <w:rPr>
          <w:rFonts w:cs="Times New Roman"/>
          <w:szCs w:val="24"/>
        </w:rPr>
        <w:t>, we should wonder how rigidity</w:t>
      </w:r>
      <w:r w:rsidR="005832C0" w:rsidRPr="007A2C81">
        <w:rPr>
          <w:rFonts w:cs="Times New Roman"/>
          <w:szCs w:val="24"/>
        </w:rPr>
        <w:t xml:space="preserve"> </w:t>
      </w:r>
      <w:r w:rsidR="005832C0" w:rsidRPr="007A2C81">
        <w:rPr>
          <w:rFonts w:cs="Times New Roman"/>
          <w:i/>
          <w:szCs w:val="24"/>
        </w:rPr>
        <w:t>could</w:t>
      </w:r>
      <w:r w:rsidR="005832C0" w:rsidRPr="007A2C81">
        <w:rPr>
          <w:rFonts w:cs="Times New Roman"/>
          <w:szCs w:val="24"/>
        </w:rPr>
        <w:t xml:space="preserve"> have </w:t>
      </w:r>
      <w:r w:rsidR="002018F9" w:rsidRPr="007A2C81">
        <w:rPr>
          <w:rFonts w:cs="Times New Roman"/>
          <w:szCs w:val="24"/>
        </w:rPr>
        <w:t>a</w:t>
      </w:r>
      <w:r w:rsidR="005832C0" w:rsidRPr="007A2C81">
        <w:rPr>
          <w:rFonts w:cs="Times New Roman"/>
          <w:szCs w:val="24"/>
        </w:rPr>
        <w:t xml:space="preserve"> </w:t>
      </w:r>
      <w:r w:rsidR="005832C0" w:rsidRPr="007A2C81">
        <w:rPr>
          <w:rFonts w:cs="Times New Roman"/>
          <w:i/>
          <w:szCs w:val="24"/>
        </w:rPr>
        <w:t>theoretically interesting</w:t>
      </w:r>
      <w:r w:rsidR="005832C0" w:rsidRPr="007A2C81">
        <w:rPr>
          <w:rFonts w:cs="Times New Roman"/>
          <w:szCs w:val="24"/>
        </w:rPr>
        <w:t xml:space="preserve"> task </w:t>
      </w:r>
      <w:r w:rsidR="005832C0" w:rsidRPr="007A2C81">
        <w:rPr>
          <w:spacing w:val="-3"/>
          <w:szCs w:val="24"/>
        </w:rPr>
        <w:t xml:space="preserve">of marking out </w:t>
      </w:r>
      <w:r w:rsidR="00F50668" w:rsidRPr="007A2C81">
        <w:rPr>
          <w:spacing w:val="-3"/>
          <w:szCs w:val="24"/>
        </w:rPr>
        <w:t>the class of natural kind terms.</w:t>
      </w:r>
      <w:r w:rsidR="005832C0" w:rsidRPr="007A2C81">
        <w:rPr>
          <w:spacing w:val="-3"/>
          <w:szCs w:val="24"/>
        </w:rPr>
        <w:t xml:space="preserve"> It is trivial that a term is a natural kind term </w:t>
      </w:r>
      <w:proofErr w:type="spellStart"/>
      <w:r w:rsidR="005832C0" w:rsidRPr="007A2C81">
        <w:rPr>
          <w:spacing w:val="-3"/>
          <w:szCs w:val="24"/>
        </w:rPr>
        <w:t>iff</w:t>
      </w:r>
      <w:proofErr w:type="spellEnd"/>
      <w:r w:rsidR="005832C0" w:rsidRPr="007A2C81">
        <w:rPr>
          <w:spacing w:val="-3"/>
          <w:szCs w:val="24"/>
        </w:rPr>
        <w:t xml:space="preserve"> it refers to a natural kind. So, if we mark out the kinds, we mark out the terms; and vice versa. And we should proceed by marking out the kinds and thus the terms: we should “put metaphysics first”, as I like to say</w:t>
      </w:r>
      <w:r w:rsidR="00754D55" w:rsidRPr="007A2C81">
        <w:rPr>
          <w:spacing w:val="-3"/>
          <w:szCs w:val="24"/>
        </w:rPr>
        <w:t xml:space="preserve"> (2010</w:t>
      </w:r>
      <w:r w:rsidR="00F50668" w:rsidRPr="007A2C81">
        <w:rPr>
          <w:spacing w:val="-3"/>
          <w:szCs w:val="24"/>
        </w:rPr>
        <w:t>)</w:t>
      </w:r>
      <w:r w:rsidR="00565B07" w:rsidRPr="007A2C81">
        <w:rPr>
          <w:spacing w:val="-3"/>
          <w:szCs w:val="24"/>
        </w:rPr>
        <w:t>.</w:t>
      </w:r>
      <w:r w:rsidR="005832C0" w:rsidRPr="007A2C81">
        <w:rPr>
          <w:spacing w:val="-3"/>
          <w:szCs w:val="24"/>
        </w:rPr>
        <w:t xml:space="preserve"> Indeed, it is somewhat preposterous to think that we should proceed in the other direction, marking out natural kinds by way of a semantic thesis about natural kind terms. </w:t>
      </w:r>
      <w:r w:rsidR="001F2836" w:rsidRPr="007A2C81">
        <w:rPr>
          <w:spacing w:val="-3"/>
          <w:szCs w:val="24"/>
        </w:rPr>
        <w:t xml:space="preserve">I </w:t>
      </w:r>
      <w:r w:rsidR="000A6176">
        <w:rPr>
          <w:spacing w:val="-3"/>
          <w:szCs w:val="24"/>
        </w:rPr>
        <w:t>am confident</w:t>
      </w:r>
      <w:r w:rsidR="001F2836" w:rsidRPr="007A2C81">
        <w:rPr>
          <w:spacing w:val="-3"/>
          <w:szCs w:val="24"/>
        </w:rPr>
        <w:t xml:space="preserve"> Kripke would agree.</w:t>
      </w:r>
    </w:p>
    <w:p w:rsidR="005832C0" w:rsidRPr="007A2C81" w:rsidRDefault="005832C0" w:rsidP="00BE5623">
      <w:pPr>
        <w:tabs>
          <w:tab w:val="left" w:pos="-720"/>
        </w:tabs>
        <w:suppressAutoHyphens/>
        <w:rPr>
          <w:rFonts w:cstheme="minorHAnsi"/>
          <w:spacing w:val="-3"/>
          <w:szCs w:val="24"/>
        </w:rPr>
      </w:pPr>
    </w:p>
    <w:p w:rsidR="00F50668" w:rsidRPr="007A2C81" w:rsidRDefault="00F50668" w:rsidP="00BE5623">
      <w:pPr>
        <w:tabs>
          <w:tab w:val="left" w:pos="-720"/>
        </w:tabs>
        <w:suppressAutoHyphens/>
        <w:rPr>
          <w:rFonts w:cstheme="minorHAnsi"/>
          <w:spacing w:val="-3"/>
          <w:szCs w:val="24"/>
        </w:rPr>
      </w:pPr>
      <w:r w:rsidRPr="007A2C81">
        <w:rPr>
          <w:rFonts w:cstheme="minorHAnsi"/>
          <w:spacing w:val="-3"/>
          <w:szCs w:val="24"/>
        </w:rPr>
        <w:tab/>
        <w:t xml:space="preserve">A theoretically useful notion of rigidity for natural kind terms must feature in Lost Rigidity arguments. I have argued that the following notion, </w:t>
      </w:r>
      <w:r w:rsidRPr="007A2C81">
        <w:rPr>
          <w:rFonts w:cstheme="minorHAnsi"/>
          <w:i/>
          <w:spacing w:val="-3"/>
          <w:szCs w:val="24"/>
        </w:rPr>
        <w:t>rigid application</w:t>
      </w:r>
      <w:r w:rsidRPr="007A2C81">
        <w:rPr>
          <w:rFonts w:cstheme="minorHAnsi"/>
          <w:spacing w:val="-3"/>
          <w:szCs w:val="24"/>
        </w:rPr>
        <w:t>, will do this work nicely:</w:t>
      </w:r>
    </w:p>
    <w:p w:rsidR="00F50668" w:rsidRPr="007A2C81" w:rsidRDefault="00F50668" w:rsidP="00BE5623">
      <w:pPr>
        <w:tabs>
          <w:tab w:val="left" w:pos="-720"/>
        </w:tabs>
        <w:suppressAutoHyphens/>
        <w:rPr>
          <w:rFonts w:cstheme="minorHAnsi"/>
          <w:spacing w:val="-3"/>
          <w:szCs w:val="24"/>
        </w:rPr>
      </w:pPr>
    </w:p>
    <w:p w:rsidR="00F50668" w:rsidRPr="007A2C81" w:rsidRDefault="00F50668" w:rsidP="00F50668">
      <w:pPr>
        <w:ind w:left="720"/>
        <w:rPr>
          <w:spacing w:val="-3"/>
          <w:szCs w:val="24"/>
        </w:rPr>
      </w:pPr>
      <w:r w:rsidRPr="007A2C81">
        <w:rPr>
          <w:spacing w:val="-3"/>
          <w:szCs w:val="24"/>
        </w:rPr>
        <w:t xml:space="preserve">a general term </w:t>
      </w:r>
      <w:r w:rsidR="00295CE0" w:rsidRPr="007A2C81">
        <w:rPr>
          <w:spacing w:val="-3"/>
          <w:szCs w:val="24"/>
        </w:rPr>
        <w:t>‘</w:t>
      </w:r>
      <w:r w:rsidRPr="007A2C81">
        <w:rPr>
          <w:i/>
          <w:spacing w:val="-3"/>
          <w:szCs w:val="24"/>
        </w:rPr>
        <w:t>F</w:t>
      </w:r>
      <w:r w:rsidR="00295CE0" w:rsidRPr="007A2C81">
        <w:rPr>
          <w:spacing w:val="-3"/>
          <w:szCs w:val="24"/>
        </w:rPr>
        <w:t>’</w:t>
      </w:r>
      <w:r w:rsidRPr="007A2C81">
        <w:rPr>
          <w:spacing w:val="-3"/>
          <w:szCs w:val="24"/>
        </w:rPr>
        <w:t xml:space="preserve"> is a rigid applier </w:t>
      </w:r>
      <w:proofErr w:type="spellStart"/>
      <w:r w:rsidRPr="007A2C81">
        <w:rPr>
          <w:spacing w:val="-3"/>
          <w:szCs w:val="24"/>
        </w:rPr>
        <w:t>iff</w:t>
      </w:r>
      <w:proofErr w:type="spellEnd"/>
      <w:r w:rsidRPr="007A2C81">
        <w:rPr>
          <w:spacing w:val="-3"/>
          <w:szCs w:val="24"/>
        </w:rPr>
        <w:t xml:space="preserve"> it is such that if it applies to an object in any possible world, then it applies to that object in every possible world in which the object exists. </w:t>
      </w:r>
      <w:proofErr w:type="gramStart"/>
      <w:r w:rsidRPr="007A2C81">
        <w:rPr>
          <w:spacing w:val="-3"/>
          <w:szCs w:val="24"/>
        </w:rPr>
        <w:t>Similarly</w:t>
      </w:r>
      <w:proofErr w:type="gramEnd"/>
      <w:r w:rsidRPr="007A2C81">
        <w:rPr>
          <w:spacing w:val="-3"/>
          <w:szCs w:val="24"/>
        </w:rPr>
        <w:t xml:space="preserve"> for a mass term. (</w:t>
      </w:r>
      <w:r w:rsidR="001F2836" w:rsidRPr="007A2C81">
        <w:rPr>
          <w:rFonts w:cstheme="minorHAnsi"/>
          <w:spacing w:val="-3"/>
          <w:szCs w:val="24"/>
        </w:rPr>
        <w:t>2005:</w:t>
      </w:r>
      <w:r w:rsidRPr="007A2C81">
        <w:rPr>
          <w:spacing w:val="-3"/>
          <w:szCs w:val="24"/>
        </w:rPr>
        <w:t xml:space="preserve"> 146)</w:t>
      </w:r>
    </w:p>
    <w:p w:rsidR="00F50668" w:rsidRPr="007A2C81" w:rsidRDefault="00F50668" w:rsidP="00F50668">
      <w:pPr>
        <w:rPr>
          <w:rFonts w:cs="Times New Roman"/>
          <w:szCs w:val="24"/>
        </w:rPr>
      </w:pPr>
    </w:p>
    <w:p w:rsidR="00AA369A" w:rsidRPr="007A2C81" w:rsidRDefault="00AA369A" w:rsidP="00F50668">
      <w:pPr>
        <w:rPr>
          <w:rFonts w:cs="Times New Roman"/>
          <w:szCs w:val="24"/>
        </w:rPr>
      </w:pPr>
      <w:r w:rsidRPr="007A2C81">
        <w:rPr>
          <w:rFonts w:cs="Times New Roman"/>
          <w:szCs w:val="24"/>
        </w:rPr>
        <w:t>Schwartz (2002, 2020) disagrees.</w:t>
      </w:r>
      <w:r w:rsidR="00754D55" w:rsidRPr="007A2C81">
        <w:rPr>
          <w:rFonts w:cs="Times New Roman"/>
          <w:szCs w:val="24"/>
        </w:rPr>
        <w:t xml:space="preserve"> I have responded (2020</w:t>
      </w:r>
      <w:r w:rsidR="001F2836" w:rsidRPr="007A2C81">
        <w:rPr>
          <w:rFonts w:cs="Times New Roman"/>
          <w:szCs w:val="24"/>
        </w:rPr>
        <w:t>:</w:t>
      </w:r>
      <w:r w:rsidR="00551766">
        <w:rPr>
          <w:rFonts w:cs="Times New Roman"/>
          <w:szCs w:val="24"/>
        </w:rPr>
        <w:t xml:space="preserve"> 19.3.3</w:t>
      </w:r>
      <w:r w:rsidR="00754D55" w:rsidRPr="007A2C81">
        <w:rPr>
          <w:rFonts w:cs="Times New Roman"/>
          <w:szCs w:val="24"/>
        </w:rPr>
        <w:t>).</w:t>
      </w:r>
    </w:p>
    <w:p w:rsidR="00696BE3" w:rsidRPr="007A2C81" w:rsidRDefault="00696BE3" w:rsidP="00BE5623">
      <w:pPr>
        <w:tabs>
          <w:tab w:val="left" w:pos="-720"/>
        </w:tabs>
        <w:suppressAutoHyphens/>
        <w:rPr>
          <w:spacing w:val="-3"/>
          <w:szCs w:val="24"/>
        </w:rPr>
      </w:pPr>
    </w:p>
    <w:p w:rsidR="00A373DE" w:rsidRPr="007A2C81" w:rsidRDefault="00E56825" w:rsidP="00BE5623">
      <w:pPr>
        <w:tabs>
          <w:tab w:val="left" w:pos="-720"/>
        </w:tabs>
        <w:suppressAutoHyphens/>
        <w:rPr>
          <w:spacing w:val="-3"/>
          <w:szCs w:val="24"/>
        </w:rPr>
      </w:pPr>
      <w:r w:rsidRPr="007A2C81">
        <w:rPr>
          <w:b/>
          <w:spacing w:val="-3"/>
          <w:szCs w:val="24"/>
        </w:rPr>
        <w:t>5</w:t>
      </w:r>
      <w:r w:rsidR="00A373DE" w:rsidRPr="007A2C81">
        <w:rPr>
          <w:b/>
          <w:spacing w:val="-3"/>
          <w:szCs w:val="24"/>
        </w:rPr>
        <w:t>. Direct Reference</w:t>
      </w:r>
    </w:p>
    <w:p w:rsidR="00A373DE" w:rsidRPr="007A2C81" w:rsidRDefault="00A373DE" w:rsidP="00BE5623">
      <w:pPr>
        <w:tabs>
          <w:tab w:val="left" w:pos="-720"/>
        </w:tabs>
        <w:suppressAutoHyphens/>
        <w:rPr>
          <w:spacing w:val="-3"/>
          <w:szCs w:val="24"/>
        </w:rPr>
      </w:pPr>
    </w:p>
    <w:p w:rsidR="00434EF3" w:rsidRPr="007A2C81" w:rsidRDefault="00A373DE" w:rsidP="00434EF3">
      <w:pPr>
        <w:tabs>
          <w:tab w:val="left" w:pos="-720"/>
        </w:tabs>
        <w:suppressAutoHyphens/>
        <w:rPr>
          <w:szCs w:val="24"/>
        </w:rPr>
      </w:pPr>
      <w:r w:rsidRPr="007A2C81">
        <w:rPr>
          <w:szCs w:val="24"/>
        </w:rPr>
        <w:lastRenderedPageBreak/>
        <w:t xml:space="preserve">Kripke showed that the meaning of a proper name could not be descriptive but then what was it? Kripke </w:t>
      </w:r>
      <w:r w:rsidR="00781EA6" w:rsidRPr="007A2C81">
        <w:rPr>
          <w:szCs w:val="24"/>
        </w:rPr>
        <w:t>has been</w:t>
      </w:r>
      <w:r w:rsidRPr="007A2C81">
        <w:rPr>
          <w:szCs w:val="24"/>
        </w:rPr>
        <w:t xml:space="preserve"> widely misunderstood to </w:t>
      </w:r>
      <w:r w:rsidR="00434EF3" w:rsidRPr="007A2C81">
        <w:rPr>
          <w:szCs w:val="24"/>
        </w:rPr>
        <w:t>endorse</w:t>
      </w:r>
      <w:r w:rsidRPr="007A2C81">
        <w:rPr>
          <w:szCs w:val="24"/>
        </w:rPr>
        <w:t xml:space="preserve"> the answer given by “direct reference”</w:t>
      </w:r>
      <w:r w:rsidR="00387E93" w:rsidRPr="007A2C81">
        <w:rPr>
          <w:szCs w:val="24"/>
        </w:rPr>
        <w:t>:</w:t>
      </w:r>
      <w:r w:rsidRPr="007A2C81">
        <w:rPr>
          <w:szCs w:val="24"/>
        </w:rPr>
        <w:t xml:space="preserve"> a name</w:t>
      </w:r>
      <w:r w:rsidR="00295CE0" w:rsidRPr="007A2C81">
        <w:rPr>
          <w:szCs w:val="24"/>
        </w:rPr>
        <w:t>’</w:t>
      </w:r>
      <w:r w:rsidRPr="007A2C81">
        <w:rPr>
          <w:szCs w:val="24"/>
        </w:rPr>
        <w:t xml:space="preserve">s meaning (“semantic value”, “semantic content”, </w:t>
      </w:r>
      <w:proofErr w:type="spellStart"/>
      <w:r w:rsidR="00E47113">
        <w:rPr>
          <w:szCs w:val="24"/>
        </w:rPr>
        <w:t>etc</w:t>
      </w:r>
      <w:proofErr w:type="spellEnd"/>
      <w:r w:rsidR="00E47113">
        <w:rPr>
          <w:szCs w:val="24"/>
        </w:rPr>
        <w:t>,</w:t>
      </w:r>
      <w:r w:rsidRPr="007A2C81">
        <w:rPr>
          <w:szCs w:val="24"/>
        </w:rPr>
        <w:t>) simply is its bearer.</w:t>
      </w:r>
      <w:r w:rsidR="00387E93" w:rsidRPr="007A2C81">
        <w:rPr>
          <w:szCs w:val="24"/>
        </w:rPr>
        <w:t xml:space="preserve"> Yet, in fact, Kripke </w:t>
      </w:r>
      <w:r w:rsidR="00781EA6" w:rsidRPr="007A2C81">
        <w:rPr>
          <w:szCs w:val="24"/>
        </w:rPr>
        <w:t xml:space="preserve">was </w:t>
      </w:r>
      <w:r w:rsidR="00387E93" w:rsidRPr="007A2C81">
        <w:rPr>
          <w:szCs w:val="24"/>
        </w:rPr>
        <w:t>noncommittal on the matter</w:t>
      </w:r>
      <w:r w:rsidR="00781EA6" w:rsidRPr="007A2C81">
        <w:rPr>
          <w:szCs w:val="24"/>
        </w:rPr>
        <w:t xml:space="preserve"> in the Preface</w:t>
      </w:r>
      <w:r w:rsidR="00387E93" w:rsidRPr="007A2C81">
        <w:rPr>
          <w:szCs w:val="24"/>
        </w:rPr>
        <w:t xml:space="preserve"> (20-21)</w:t>
      </w:r>
      <w:r w:rsidR="00781EA6" w:rsidRPr="007A2C81">
        <w:rPr>
          <w:szCs w:val="24"/>
        </w:rPr>
        <w:t xml:space="preserve"> and has resisted all attempts to get him off the fence since</w:t>
      </w:r>
      <w:r w:rsidR="00387E93" w:rsidRPr="007A2C81">
        <w:rPr>
          <w:szCs w:val="24"/>
        </w:rPr>
        <w:t>.</w:t>
      </w:r>
    </w:p>
    <w:p w:rsidR="00387E93" w:rsidRPr="007A2C81" w:rsidRDefault="00387E93" w:rsidP="00387E93">
      <w:pPr>
        <w:rPr>
          <w:szCs w:val="24"/>
        </w:rPr>
      </w:pPr>
    </w:p>
    <w:p w:rsidR="00E15D03" w:rsidRPr="007A2C81" w:rsidRDefault="00387E93" w:rsidP="00097AE2">
      <w:pPr>
        <w:ind w:firstLine="720"/>
        <w:rPr>
          <w:szCs w:val="24"/>
        </w:rPr>
      </w:pPr>
      <w:r w:rsidRPr="007A2C81">
        <w:rPr>
          <w:szCs w:val="24"/>
        </w:rPr>
        <w:t>Direct reference, as I am understanding it,</w:t>
      </w:r>
      <w:r w:rsidRPr="007A2C81">
        <w:rPr>
          <w:rStyle w:val="FootnoteReference"/>
          <w:szCs w:val="24"/>
        </w:rPr>
        <w:footnoteReference w:id="28"/>
      </w:r>
      <w:r w:rsidRPr="007A2C81">
        <w:rPr>
          <w:szCs w:val="24"/>
        </w:rPr>
        <w:t xml:space="preserve"> is simply a resurrection of the “</w:t>
      </w:r>
      <w:proofErr w:type="spellStart"/>
      <w:r w:rsidRPr="007A2C81">
        <w:rPr>
          <w:szCs w:val="24"/>
        </w:rPr>
        <w:t>Millian</w:t>
      </w:r>
      <w:proofErr w:type="spellEnd"/>
      <w:r w:rsidRPr="007A2C81">
        <w:rPr>
          <w:szCs w:val="24"/>
        </w:rPr>
        <w:t xml:space="preserve">” theory. So it faces the familiar, and apparently overwhelming, problems </w:t>
      </w:r>
      <w:r w:rsidR="002018F9" w:rsidRPr="007A2C81">
        <w:rPr>
          <w:szCs w:val="24"/>
        </w:rPr>
        <w:t xml:space="preserve">(identity statements, negative existence statements, etc.) </w:t>
      </w:r>
      <w:r w:rsidRPr="007A2C81">
        <w:rPr>
          <w:szCs w:val="24"/>
        </w:rPr>
        <w:t xml:space="preserve">that led </w:t>
      </w:r>
      <w:proofErr w:type="spellStart"/>
      <w:r w:rsidRPr="007A2C81">
        <w:rPr>
          <w:szCs w:val="24"/>
        </w:rPr>
        <w:t>Frege</w:t>
      </w:r>
      <w:proofErr w:type="spellEnd"/>
      <w:r w:rsidRPr="007A2C81">
        <w:rPr>
          <w:szCs w:val="24"/>
        </w:rPr>
        <w:t xml:space="preserve"> and Russell to abandon </w:t>
      </w:r>
      <w:proofErr w:type="spellStart"/>
      <w:r w:rsidRPr="007A2C81">
        <w:rPr>
          <w:szCs w:val="24"/>
        </w:rPr>
        <w:t>Millianism</w:t>
      </w:r>
      <w:proofErr w:type="spellEnd"/>
      <w:r w:rsidRPr="007A2C81">
        <w:rPr>
          <w:szCs w:val="24"/>
        </w:rPr>
        <w:t xml:space="preserve"> long ago in favor of description theories. Because of these problems, I did not, for many years, entertain direct reference as even a </w:t>
      </w:r>
      <w:r w:rsidRPr="007A2C81">
        <w:rPr>
          <w:i/>
          <w:szCs w:val="24"/>
        </w:rPr>
        <w:t>candidate</w:t>
      </w:r>
      <w:r w:rsidRPr="007A2C81">
        <w:rPr>
          <w:szCs w:val="24"/>
        </w:rPr>
        <w:t xml:space="preserve"> theory of the meaning of a name. But then, by the mid-80s, direct reference</w:t>
      </w:r>
      <w:r w:rsidR="00295CE0" w:rsidRPr="007A2C81">
        <w:rPr>
          <w:szCs w:val="24"/>
        </w:rPr>
        <w:t>’</w:t>
      </w:r>
      <w:r w:rsidRPr="007A2C81">
        <w:rPr>
          <w:szCs w:val="24"/>
        </w:rPr>
        <w:t>s popularity made it impossible to ignore.</w:t>
      </w:r>
      <w:r w:rsidRPr="007A2C81">
        <w:rPr>
          <w:szCs w:val="24"/>
          <w:vertAlign w:val="superscript"/>
        </w:rPr>
        <w:footnoteReference w:id="29"/>
      </w:r>
      <w:r w:rsidRPr="007A2C81">
        <w:rPr>
          <w:szCs w:val="24"/>
        </w:rPr>
        <w:t xml:space="preserve"> Indeed, by that time the received view, even among counter-revolutionaries, seemed to have become that direct reference was a </w:t>
      </w:r>
      <w:r w:rsidRPr="007A2C81">
        <w:rPr>
          <w:i/>
          <w:szCs w:val="24"/>
        </w:rPr>
        <w:t>consequence</w:t>
      </w:r>
      <w:r w:rsidRPr="007A2C81">
        <w:rPr>
          <w:szCs w:val="24"/>
        </w:rPr>
        <w:t xml:space="preserve"> of a </w:t>
      </w:r>
      <w:proofErr w:type="spellStart"/>
      <w:r w:rsidRPr="007A2C81">
        <w:rPr>
          <w:szCs w:val="24"/>
        </w:rPr>
        <w:t>Kripkean</w:t>
      </w:r>
      <w:proofErr w:type="spellEnd"/>
      <w:r w:rsidRPr="007A2C81">
        <w:rPr>
          <w:szCs w:val="24"/>
        </w:rPr>
        <w:t xml:space="preserve"> </w:t>
      </w:r>
      <w:proofErr w:type="spellStart"/>
      <w:r w:rsidRPr="007A2C81">
        <w:rPr>
          <w:szCs w:val="24"/>
        </w:rPr>
        <w:t>nondescriptive</w:t>
      </w:r>
      <w:proofErr w:type="spellEnd"/>
      <w:r w:rsidRPr="007A2C81">
        <w:rPr>
          <w:szCs w:val="24"/>
        </w:rPr>
        <w:t xml:space="preserve"> theory of a name</w:t>
      </w:r>
      <w:r w:rsidR="00295CE0" w:rsidRPr="007A2C81">
        <w:rPr>
          <w:szCs w:val="24"/>
        </w:rPr>
        <w:t>’</w:t>
      </w:r>
      <w:r w:rsidRPr="007A2C81">
        <w:rPr>
          <w:szCs w:val="24"/>
        </w:rPr>
        <w:t>s reference.</w:t>
      </w:r>
      <w:r w:rsidRPr="007A2C81">
        <w:rPr>
          <w:szCs w:val="24"/>
          <w:vertAlign w:val="superscript"/>
        </w:rPr>
        <w:footnoteReference w:id="30"/>
      </w:r>
      <w:r w:rsidRPr="007A2C81">
        <w:rPr>
          <w:szCs w:val="24"/>
        </w:rPr>
        <w:t xml:space="preserve"> The history of this is curious.</w:t>
      </w:r>
      <w:r w:rsidR="00C37681" w:rsidRPr="007A2C81">
        <w:rPr>
          <w:szCs w:val="24"/>
        </w:rPr>
        <w:t xml:space="preserve"> </w:t>
      </w:r>
    </w:p>
    <w:p w:rsidR="00E15D03" w:rsidRPr="007A2C81" w:rsidRDefault="00E15D03" w:rsidP="00097AE2">
      <w:pPr>
        <w:ind w:firstLine="720"/>
        <w:rPr>
          <w:szCs w:val="24"/>
        </w:rPr>
      </w:pPr>
    </w:p>
    <w:p w:rsidR="00097AE2" w:rsidRPr="007A2C81" w:rsidRDefault="00097AE2" w:rsidP="00E15D03">
      <w:pPr>
        <w:ind w:firstLine="720"/>
        <w:rPr>
          <w:szCs w:val="24"/>
        </w:rPr>
      </w:pPr>
      <w:r w:rsidRPr="007A2C81">
        <w:rPr>
          <w:szCs w:val="24"/>
        </w:rPr>
        <w:t xml:space="preserve">But before telling </w:t>
      </w:r>
      <w:r w:rsidR="00C37681" w:rsidRPr="007A2C81">
        <w:rPr>
          <w:szCs w:val="24"/>
        </w:rPr>
        <w:t>it</w:t>
      </w:r>
      <w:r w:rsidRPr="007A2C81">
        <w:rPr>
          <w:szCs w:val="24"/>
        </w:rPr>
        <w:t>,</w:t>
      </w:r>
      <w:r w:rsidR="00E15D03" w:rsidRPr="007A2C81">
        <w:rPr>
          <w:szCs w:val="24"/>
        </w:rPr>
        <w:t xml:space="preserve"> we should consider this question: Why </w:t>
      </w:r>
      <w:r w:rsidR="00AD7E13" w:rsidRPr="007A2C81">
        <w:rPr>
          <w:szCs w:val="24"/>
        </w:rPr>
        <w:t>did people, friend and foe alike,</w:t>
      </w:r>
      <w:r w:rsidR="00890940" w:rsidRPr="007A2C81">
        <w:rPr>
          <w:szCs w:val="24"/>
        </w:rPr>
        <w:t xml:space="preserve"> think</w:t>
      </w:r>
      <w:r w:rsidR="00AD7E13" w:rsidRPr="007A2C81">
        <w:rPr>
          <w:szCs w:val="24"/>
        </w:rPr>
        <w:t xml:space="preserve"> that</w:t>
      </w:r>
      <w:r w:rsidR="00E15D03" w:rsidRPr="007A2C81">
        <w:rPr>
          <w:szCs w:val="24"/>
        </w:rPr>
        <w:t xml:space="preserve"> the revolution</w:t>
      </w:r>
      <w:r w:rsidR="00AD7E13" w:rsidRPr="007A2C81">
        <w:rPr>
          <w:szCs w:val="24"/>
        </w:rPr>
        <w:t xml:space="preserve"> implies</w:t>
      </w:r>
      <w:r w:rsidR="00E15D03" w:rsidRPr="007A2C81">
        <w:rPr>
          <w:szCs w:val="24"/>
        </w:rPr>
        <w:t xml:space="preserve"> direct reference? The answer is clear: people thought there was no alternative.</w:t>
      </w:r>
      <w:r w:rsidRPr="007A2C81">
        <w:rPr>
          <w:szCs w:val="24"/>
        </w:rPr>
        <w:t xml:space="preserve"> </w:t>
      </w:r>
      <w:r w:rsidR="00E15D03" w:rsidRPr="007A2C81">
        <w:rPr>
          <w:szCs w:val="24"/>
        </w:rPr>
        <w:t>Yet there is one</w:t>
      </w:r>
      <w:r w:rsidR="002A546B" w:rsidRPr="007A2C81">
        <w:rPr>
          <w:szCs w:val="24"/>
        </w:rPr>
        <w:t xml:space="preserve">. </w:t>
      </w:r>
      <w:r w:rsidR="00426D4E">
        <w:rPr>
          <w:szCs w:val="24"/>
        </w:rPr>
        <w:t xml:space="preserve">The </w:t>
      </w:r>
      <w:r w:rsidR="00426D4E" w:rsidRPr="007A2C81">
        <w:rPr>
          <w:szCs w:val="24"/>
        </w:rPr>
        <w:t xml:space="preserve">apparently overwhelming, problems </w:t>
      </w:r>
      <w:r w:rsidR="00426D4E">
        <w:rPr>
          <w:szCs w:val="24"/>
        </w:rPr>
        <w:t xml:space="preserve">for </w:t>
      </w:r>
      <w:proofErr w:type="spellStart"/>
      <w:r w:rsidR="00426D4E">
        <w:rPr>
          <w:szCs w:val="24"/>
        </w:rPr>
        <w:t>Millianism</w:t>
      </w:r>
      <w:proofErr w:type="spellEnd"/>
      <w:r w:rsidR="00426D4E">
        <w:rPr>
          <w:szCs w:val="24"/>
        </w:rPr>
        <w:t xml:space="preserve"> gave </w:t>
      </w:r>
      <w:proofErr w:type="spellStart"/>
      <w:r w:rsidR="002A546B" w:rsidRPr="007A2C81">
        <w:rPr>
          <w:szCs w:val="24"/>
        </w:rPr>
        <w:t>Frege</w:t>
      </w:r>
      <w:proofErr w:type="spellEnd"/>
      <w:r w:rsidR="002A546B" w:rsidRPr="007A2C81">
        <w:rPr>
          <w:szCs w:val="24"/>
        </w:rPr>
        <w:t xml:space="preserve"> </w:t>
      </w:r>
      <w:r w:rsidR="00426D4E">
        <w:rPr>
          <w:szCs w:val="24"/>
        </w:rPr>
        <w:t>a</w:t>
      </w:r>
      <w:r w:rsidR="002A546B" w:rsidRPr="007A2C81">
        <w:rPr>
          <w:szCs w:val="24"/>
        </w:rPr>
        <w:t xml:space="preserve"> good reason for </w:t>
      </w:r>
      <w:r w:rsidR="00426D4E">
        <w:rPr>
          <w:szCs w:val="24"/>
        </w:rPr>
        <w:t>holding</w:t>
      </w:r>
      <w:r w:rsidR="002A546B" w:rsidRPr="007A2C81">
        <w:rPr>
          <w:szCs w:val="24"/>
        </w:rPr>
        <w:t xml:space="preserve"> that a name has a meaning that is its mode of referring to its bearer. He proposed that the mode is</w:t>
      </w:r>
      <w:r w:rsidR="008E0764" w:rsidRPr="007A2C81">
        <w:rPr>
          <w:szCs w:val="24"/>
        </w:rPr>
        <w:t xml:space="preserve"> a</w:t>
      </w:r>
      <w:r w:rsidR="002A546B" w:rsidRPr="007A2C81">
        <w:rPr>
          <w:szCs w:val="24"/>
        </w:rPr>
        <w:t xml:space="preserve"> descripti</w:t>
      </w:r>
      <w:r w:rsidR="008E0764" w:rsidRPr="007A2C81">
        <w:rPr>
          <w:szCs w:val="24"/>
        </w:rPr>
        <w:t>on</w:t>
      </w:r>
      <w:r w:rsidR="002A546B" w:rsidRPr="007A2C81">
        <w:rPr>
          <w:szCs w:val="24"/>
        </w:rPr>
        <w:t xml:space="preserve"> of the bearer. Kripke has shown that this </w:t>
      </w:r>
      <w:r w:rsidR="008E0764" w:rsidRPr="007A2C81">
        <w:rPr>
          <w:szCs w:val="24"/>
        </w:rPr>
        <w:t>can</w:t>
      </w:r>
      <w:r w:rsidR="00295CE0" w:rsidRPr="007A2C81">
        <w:rPr>
          <w:szCs w:val="24"/>
        </w:rPr>
        <w:t>’</w:t>
      </w:r>
      <w:r w:rsidR="008E0764" w:rsidRPr="007A2C81">
        <w:rPr>
          <w:szCs w:val="24"/>
        </w:rPr>
        <w:t>t be right</w:t>
      </w:r>
      <w:r w:rsidR="002A546B" w:rsidRPr="007A2C81">
        <w:rPr>
          <w:szCs w:val="24"/>
        </w:rPr>
        <w:t>.</w:t>
      </w:r>
      <w:r w:rsidR="008E0764" w:rsidRPr="007A2C81">
        <w:rPr>
          <w:szCs w:val="24"/>
        </w:rPr>
        <w:t xml:space="preserve"> Yet a name obviously has </w:t>
      </w:r>
      <w:r w:rsidR="008E0764" w:rsidRPr="007A2C81">
        <w:rPr>
          <w:i/>
          <w:szCs w:val="24"/>
        </w:rPr>
        <w:t>some</w:t>
      </w:r>
      <w:r w:rsidR="008E0764" w:rsidRPr="007A2C81">
        <w:rPr>
          <w:szCs w:val="24"/>
        </w:rPr>
        <w:t xml:space="preserve"> mode of</w:t>
      </w:r>
      <w:r w:rsidR="002A546B" w:rsidRPr="007A2C81">
        <w:rPr>
          <w:szCs w:val="24"/>
        </w:rPr>
        <w:t xml:space="preserve"> referring. </w:t>
      </w:r>
      <w:proofErr w:type="spellStart"/>
      <w:r w:rsidR="002A546B" w:rsidRPr="007A2C81">
        <w:rPr>
          <w:szCs w:val="24"/>
        </w:rPr>
        <w:t>Kripke</w:t>
      </w:r>
      <w:r w:rsidR="00295CE0" w:rsidRPr="007A2C81">
        <w:rPr>
          <w:szCs w:val="24"/>
        </w:rPr>
        <w:t>’</w:t>
      </w:r>
      <w:r w:rsidR="002A546B" w:rsidRPr="007A2C81">
        <w:rPr>
          <w:szCs w:val="24"/>
        </w:rPr>
        <w:t>s</w:t>
      </w:r>
      <w:proofErr w:type="spellEnd"/>
      <w:r w:rsidR="002A546B" w:rsidRPr="007A2C81">
        <w:rPr>
          <w:szCs w:val="24"/>
        </w:rPr>
        <w:t xml:space="preserve"> “better picture” </w:t>
      </w:r>
      <w:r w:rsidR="008E0764" w:rsidRPr="007A2C81">
        <w:rPr>
          <w:szCs w:val="24"/>
        </w:rPr>
        <w:t>provides the clue</w:t>
      </w:r>
      <w:r w:rsidR="002A546B" w:rsidRPr="007A2C81">
        <w:rPr>
          <w:szCs w:val="24"/>
        </w:rPr>
        <w:t>: a name has a causal</w:t>
      </w:r>
      <w:r w:rsidR="008E0764" w:rsidRPr="007A2C81">
        <w:rPr>
          <w:szCs w:val="24"/>
        </w:rPr>
        <w:t>-historical</w:t>
      </w:r>
      <w:r w:rsidR="002A546B" w:rsidRPr="007A2C81">
        <w:rPr>
          <w:szCs w:val="24"/>
        </w:rPr>
        <w:t xml:space="preserve"> mode of some sort. So </w:t>
      </w:r>
      <w:r w:rsidR="002A546B" w:rsidRPr="007A2C81">
        <w:rPr>
          <w:i/>
          <w:szCs w:val="24"/>
        </w:rPr>
        <w:t>that</w:t>
      </w:r>
      <w:r w:rsidR="002A546B" w:rsidRPr="007A2C81">
        <w:rPr>
          <w:szCs w:val="24"/>
        </w:rPr>
        <w:t xml:space="preserve"> is </w:t>
      </w:r>
      <w:r w:rsidR="000315BE" w:rsidRPr="007A2C81">
        <w:rPr>
          <w:szCs w:val="24"/>
        </w:rPr>
        <w:t>the name</w:t>
      </w:r>
      <w:r w:rsidR="00295CE0" w:rsidRPr="007A2C81">
        <w:rPr>
          <w:szCs w:val="24"/>
        </w:rPr>
        <w:t>’</w:t>
      </w:r>
      <w:r w:rsidR="000315BE" w:rsidRPr="007A2C81">
        <w:rPr>
          <w:szCs w:val="24"/>
        </w:rPr>
        <w:t>s</w:t>
      </w:r>
      <w:r w:rsidR="002A546B" w:rsidRPr="007A2C81">
        <w:rPr>
          <w:szCs w:val="24"/>
        </w:rPr>
        <w:t xml:space="preserve"> meaning.</w:t>
      </w:r>
      <w:r w:rsidR="00AD7E13" w:rsidRPr="007A2C81">
        <w:rPr>
          <w:szCs w:val="24"/>
        </w:rPr>
        <w:t xml:space="preserve"> I urged this</w:t>
      </w:r>
      <w:r w:rsidR="007632A3" w:rsidRPr="007A2C81">
        <w:rPr>
          <w:szCs w:val="24"/>
        </w:rPr>
        <w:t xml:space="preserve"> from</w:t>
      </w:r>
      <w:r w:rsidR="00AD7E13" w:rsidRPr="007A2C81">
        <w:rPr>
          <w:szCs w:val="24"/>
        </w:rPr>
        <w:t xml:space="preserve"> the start </w:t>
      </w:r>
      <w:r w:rsidR="007632A3" w:rsidRPr="007A2C81">
        <w:rPr>
          <w:szCs w:val="24"/>
        </w:rPr>
        <w:t>(1974</w:t>
      </w:r>
      <w:r w:rsidR="00357D35" w:rsidRPr="007A2C81">
        <w:rPr>
          <w:szCs w:val="24"/>
        </w:rPr>
        <w:t>: 204</w:t>
      </w:r>
      <w:r w:rsidR="00AD7E13" w:rsidRPr="007A2C81">
        <w:rPr>
          <w:szCs w:val="24"/>
        </w:rPr>
        <w:t>).</w:t>
      </w:r>
      <w:r w:rsidR="007632A3" w:rsidRPr="007A2C81">
        <w:rPr>
          <w:rStyle w:val="FootnoteReference"/>
          <w:spacing w:val="-3"/>
          <w:szCs w:val="24"/>
        </w:rPr>
        <w:footnoteReference w:id="31"/>
      </w:r>
      <w:r w:rsidR="00AD7E13" w:rsidRPr="007A2C81">
        <w:rPr>
          <w:szCs w:val="24"/>
        </w:rPr>
        <w:t xml:space="preserve"> </w:t>
      </w:r>
      <w:r w:rsidRPr="007A2C81">
        <w:rPr>
          <w:szCs w:val="24"/>
        </w:rPr>
        <w:t xml:space="preserve"> It was only much later that I came to realize that this idea, so natural to me as to see</w:t>
      </w:r>
      <w:r w:rsidR="00357D35" w:rsidRPr="007A2C81">
        <w:rPr>
          <w:szCs w:val="24"/>
        </w:rPr>
        <w:t>m almost uninteresting – the initial presentation was in one brief paragraph with no fanfare</w:t>
      </w:r>
      <w:r w:rsidRPr="007A2C81">
        <w:rPr>
          <w:szCs w:val="24"/>
        </w:rPr>
        <w:t xml:space="preserve"> - struck many as what I later called “A Shocking Idea about Meaning” (2001).</w:t>
      </w:r>
      <w:r w:rsidR="0030448A" w:rsidRPr="007A2C81">
        <w:rPr>
          <w:szCs w:val="24"/>
        </w:rPr>
        <w:t xml:space="preserve"> And that, I assume, is why this alternative was overlooked.</w:t>
      </w:r>
      <w:r w:rsidR="0030448A" w:rsidRPr="007A2C81">
        <w:rPr>
          <w:rStyle w:val="FootnoteReference"/>
          <w:szCs w:val="24"/>
        </w:rPr>
        <w:footnoteReference w:id="32"/>
      </w:r>
      <w:r w:rsidRPr="007A2C81">
        <w:rPr>
          <w:szCs w:val="24"/>
        </w:rPr>
        <w:t xml:space="preserve"> </w:t>
      </w:r>
      <w:r w:rsidR="00B52D7D" w:rsidRPr="007A2C81">
        <w:rPr>
          <w:szCs w:val="24"/>
        </w:rPr>
        <w:t>Shocking as it may be, it solves the meaning problem for names and seems to have nothing against it but a misguided attachment to traditional ways of thinking.</w:t>
      </w:r>
    </w:p>
    <w:p w:rsidR="00E15D03" w:rsidRPr="007A2C81" w:rsidRDefault="00E15D03" w:rsidP="0001163D">
      <w:pPr>
        <w:rPr>
          <w:szCs w:val="24"/>
        </w:rPr>
      </w:pPr>
    </w:p>
    <w:p w:rsidR="00387E93" w:rsidRPr="007A2C81" w:rsidRDefault="00C37681" w:rsidP="00387E93">
      <w:pPr>
        <w:ind w:firstLine="720"/>
        <w:rPr>
          <w:szCs w:val="24"/>
        </w:rPr>
      </w:pPr>
      <w:r w:rsidRPr="007A2C81">
        <w:rPr>
          <w:szCs w:val="24"/>
        </w:rPr>
        <w:t>Now to the curious history</w:t>
      </w:r>
      <w:r w:rsidR="0025293A" w:rsidRPr="007A2C81">
        <w:rPr>
          <w:szCs w:val="24"/>
        </w:rPr>
        <w:t xml:space="preserve"> of direct reference</w:t>
      </w:r>
      <w:r w:rsidRPr="007A2C81">
        <w:rPr>
          <w:szCs w:val="24"/>
        </w:rPr>
        <w:t xml:space="preserve">. </w:t>
      </w:r>
      <w:r w:rsidR="00387E93" w:rsidRPr="007A2C81">
        <w:rPr>
          <w:szCs w:val="24"/>
        </w:rPr>
        <w:t xml:space="preserve">An early statement of the view that direct reference was indeed part of the </w:t>
      </w:r>
      <w:proofErr w:type="spellStart"/>
      <w:r w:rsidR="00387E93" w:rsidRPr="007A2C81">
        <w:rPr>
          <w:szCs w:val="24"/>
        </w:rPr>
        <w:t>Kripkean</w:t>
      </w:r>
      <w:proofErr w:type="spellEnd"/>
      <w:r w:rsidR="00387E93" w:rsidRPr="007A2C81">
        <w:rPr>
          <w:szCs w:val="24"/>
        </w:rPr>
        <w:t xml:space="preserve"> revolution was by Brian </w:t>
      </w:r>
      <w:proofErr w:type="spellStart"/>
      <w:r w:rsidR="00387E93" w:rsidRPr="007A2C81">
        <w:rPr>
          <w:szCs w:val="24"/>
        </w:rPr>
        <w:t>Loar</w:t>
      </w:r>
      <w:proofErr w:type="spellEnd"/>
      <w:r w:rsidR="00387E93" w:rsidRPr="007A2C81">
        <w:rPr>
          <w:szCs w:val="24"/>
        </w:rPr>
        <w:t xml:space="preserve"> in a paper that was </w:t>
      </w:r>
      <w:r w:rsidR="00387E93" w:rsidRPr="007A2C81">
        <w:rPr>
          <w:i/>
          <w:szCs w:val="24"/>
        </w:rPr>
        <w:t>critical</w:t>
      </w:r>
      <w:r w:rsidR="00387E93" w:rsidRPr="007A2C81">
        <w:rPr>
          <w:szCs w:val="24"/>
        </w:rPr>
        <w:t xml:space="preserve"> of the revolution (1976: 355). </w:t>
      </w:r>
      <w:proofErr w:type="spellStart"/>
      <w:r w:rsidR="00387E93" w:rsidRPr="007A2C81">
        <w:rPr>
          <w:szCs w:val="24"/>
        </w:rPr>
        <w:t>Loar</w:t>
      </w:r>
      <w:proofErr w:type="spellEnd"/>
      <w:r w:rsidR="00387E93" w:rsidRPr="007A2C81">
        <w:rPr>
          <w:szCs w:val="24"/>
        </w:rPr>
        <w:t xml:space="preserve"> went further, claiming that direct reference was “the chief philosophical interest of causal theories of referring” (p. 368). Yet, as I pointed out in a </w:t>
      </w:r>
      <w:r w:rsidR="00387E93" w:rsidRPr="007A2C81">
        <w:rPr>
          <w:szCs w:val="24"/>
        </w:rPr>
        <w:lastRenderedPageBreak/>
        <w:t xml:space="preserve">response (1980: 272-73), direct reference is not to be found in the only papers that </w:t>
      </w:r>
      <w:proofErr w:type="spellStart"/>
      <w:r w:rsidR="00387E93" w:rsidRPr="007A2C81">
        <w:rPr>
          <w:szCs w:val="24"/>
        </w:rPr>
        <w:t>Loar</w:t>
      </w:r>
      <w:proofErr w:type="spellEnd"/>
      <w:r w:rsidR="00387E93" w:rsidRPr="007A2C81">
        <w:rPr>
          <w:szCs w:val="24"/>
        </w:rPr>
        <w:t xml:space="preserve"> cites, Kripke 1972 and Donnellan 1972. And we should note that Schwartz, writing at roughly the same time as </w:t>
      </w:r>
      <w:proofErr w:type="spellStart"/>
      <w:r w:rsidR="00387E93" w:rsidRPr="007A2C81">
        <w:rPr>
          <w:szCs w:val="24"/>
        </w:rPr>
        <w:t>Loar</w:t>
      </w:r>
      <w:proofErr w:type="spellEnd"/>
      <w:r w:rsidR="00387E93" w:rsidRPr="007A2C81">
        <w:rPr>
          <w:szCs w:val="24"/>
        </w:rPr>
        <w:t>, lists the “main features” of what he calls “the new theory” of reference without even mentioning direct reference (1977: 20</w:t>
      </w:r>
      <w:r w:rsidR="00387E93" w:rsidRPr="007A2C81">
        <w:rPr>
          <w:szCs w:val="24"/>
        </w:rPr>
        <w:noBreakHyphen/>
        <w:t xml:space="preserve">34). </w:t>
      </w:r>
      <w:proofErr w:type="spellStart"/>
      <w:r w:rsidR="00387E93" w:rsidRPr="007A2C81">
        <w:rPr>
          <w:szCs w:val="24"/>
        </w:rPr>
        <w:t>Loar</w:t>
      </w:r>
      <w:r w:rsidR="00295CE0" w:rsidRPr="007A2C81">
        <w:rPr>
          <w:szCs w:val="24"/>
        </w:rPr>
        <w:t>’</w:t>
      </w:r>
      <w:r w:rsidR="00387E93" w:rsidRPr="007A2C81">
        <w:rPr>
          <w:szCs w:val="24"/>
        </w:rPr>
        <w:t>s</w:t>
      </w:r>
      <w:proofErr w:type="spellEnd"/>
      <w:r w:rsidR="00387E93" w:rsidRPr="007A2C81">
        <w:rPr>
          <w:szCs w:val="24"/>
        </w:rPr>
        <w:t xml:space="preserve"> claim led me to say that direct reference was “too implausible to be attributed to anyone without evidence” (1980: 273). Other </w:t>
      </w:r>
      <w:r w:rsidR="00387E93" w:rsidRPr="007A2C81">
        <w:rPr>
          <w:i/>
          <w:szCs w:val="24"/>
        </w:rPr>
        <w:t>critics</w:t>
      </w:r>
      <w:r w:rsidR="00387E93" w:rsidRPr="007A2C81">
        <w:rPr>
          <w:szCs w:val="24"/>
        </w:rPr>
        <w:t xml:space="preserve"> of the revolution, Stephen Schiffer (1979) and Felicia Ackerman (1979), soon joined </w:t>
      </w:r>
      <w:proofErr w:type="spellStart"/>
      <w:r w:rsidR="00387E93" w:rsidRPr="007A2C81">
        <w:rPr>
          <w:szCs w:val="24"/>
        </w:rPr>
        <w:t>Loar</w:t>
      </w:r>
      <w:proofErr w:type="spellEnd"/>
      <w:r w:rsidR="00387E93" w:rsidRPr="007A2C81">
        <w:rPr>
          <w:szCs w:val="24"/>
        </w:rPr>
        <w:t xml:space="preserve"> in misattributing direct reference to Kripke.</w:t>
      </w:r>
      <w:r w:rsidR="00387E93" w:rsidRPr="007A2C81">
        <w:rPr>
          <w:rStyle w:val="FootnoteReference"/>
          <w:szCs w:val="24"/>
        </w:rPr>
        <w:footnoteReference w:id="33"/>
      </w:r>
      <w:r w:rsidR="00387E93" w:rsidRPr="007A2C81">
        <w:rPr>
          <w:szCs w:val="24"/>
        </w:rPr>
        <w:t xml:space="preserve"> But they are on much firmer footing in finding the view in Donnellan 1974.</w:t>
      </w:r>
      <w:r w:rsidR="00387E93" w:rsidRPr="007A2C81">
        <w:rPr>
          <w:szCs w:val="24"/>
          <w:vertAlign w:val="superscript"/>
        </w:rPr>
        <w:footnoteReference w:id="34"/>
      </w:r>
      <w:r w:rsidR="00387E93" w:rsidRPr="007A2C81">
        <w:rPr>
          <w:szCs w:val="24"/>
        </w:rPr>
        <w:t xml:space="preserve"> Schiffer also claims that David Kaplan</w:t>
      </w:r>
      <w:r w:rsidR="00295CE0" w:rsidRPr="007A2C81">
        <w:rPr>
          <w:szCs w:val="24"/>
        </w:rPr>
        <w:t>’</w:t>
      </w:r>
      <w:r w:rsidR="00387E93" w:rsidRPr="007A2C81">
        <w:rPr>
          <w:szCs w:val="24"/>
        </w:rPr>
        <w:t>s famous “</w:t>
      </w:r>
      <w:proofErr w:type="spellStart"/>
      <w:r w:rsidR="00387E93" w:rsidRPr="007A2C81">
        <w:rPr>
          <w:szCs w:val="24"/>
        </w:rPr>
        <w:t>Dthat</w:t>
      </w:r>
      <w:proofErr w:type="spellEnd"/>
      <w:r w:rsidR="00387E93" w:rsidRPr="007A2C81">
        <w:rPr>
          <w:szCs w:val="24"/>
        </w:rPr>
        <w:t>” (1978) “clearly implies” the view (1979: 73 n. 5). I see no such clear implication in “</w:t>
      </w:r>
      <w:proofErr w:type="spellStart"/>
      <w:r w:rsidR="00387E93" w:rsidRPr="007A2C81">
        <w:rPr>
          <w:szCs w:val="24"/>
        </w:rPr>
        <w:t>Dthat</w:t>
      </w:r>
      <w:proofErr w:type="spellEnd"/>
      <w:r w:rsidR="00387E93" w:rsidRPr="007A2C81">
        <w:rPr>
          <w:szCs w:val="24"/>
        </w:rPr>
        <w:t>” (but see below for more on Kaplan).Was there anyone</w:t>
      </w:r>
      <w:r w:rsidR="005A2830" w:rsidRPr="007A2C81">
        <w:rPr>
          <w:szCs w:val="24"/>
        </w:rPr>
        <w:t xml:space="preserve"> </w:t>
      </w:r>
      <w:r w:rsidR="00387E93" w:rsidRPr="007A2C81">
        <w:rPr>
          <w:szCs w:val="24"/>
        </w:rPr>
        <w:t>back in the 70s</w:t>
      </w:r>
      <w:r w:rsidR="005A2830" w:rsidRPr="007A2C81">
        <w:rPr>
          <w:szCs w:val="24"/>
        </w:rPr>
        <w:t>, other perhaps than Donnellan,</w:t>
      </w:r>
      <w:r w:rsidR="00387E93" w:rsidRPr="007A2C81">
        <w:rPr>
          <w:szCs w:val="24"/>
        </w:rPr>
        <w:t xml:space="preserve"> who was led by the revolution to </w:t>
      </w:r>
      <w:r w:rsidR="00387E93" w:rsidRPr="007A2C81">
        <w:rPr>
          <w:i/>
          <w:szCs w:val="24"/>
        </w:rPr>
        <w:t>embrace</w:t>
      </w:r>
      <w:r w:rsidR="00387E93" w:rsidRPr="007A2C81">
        <w:rPr>
          <w:szCs w:val="24"/>
        </w:rPr>
        <w:t xml:space="preserve"> direct reference?</w:t>
      </w:r>
      <w:r w:rsidR="00387E93" w:rsidRPr="007A2C81">
        <w:rPr>
          <w:rStyle w:val="FootnoteReference"/>
          <w:szCs w:val="24"/>
        </w:rPr>
        <w:footnoteReference w:id="35"/>
      </w:r>
      <w:r w:rsidR="00387E93" w:rsidRPr="007A2C81">
        <w:rPr>
          <w:szCs w:val="24"/>
        </w:rPr>
        <w:t xml:space="preserve"> The only publication I could find is by Michael </w:t>
      </w:r>
      <w:proofErr w:type="spellStart"/>
      <w:r w:rsidR="00387E93" w:rsidRPr="007A2C81">
        <w:rPr>
          <w:szCs w:val="24"/>
        </w:rPr>
        <w:t>Tye</w:t>
      </w:r>
      <w:proofErr w:type="spellEnd"/>
      <w:r w:rsidR="00387E93" w:rsidRPr="007A2C81">
        <w:rPr>
          <w:szCs w:val="24"/>
        </w:rPr>
        <w:t xml:space="preserve"> (1978). A little later, there was one by Tom McKay (1981). Both, like the critics, misattribute the view to Kripke (</w:t>
      </w:r>
      <w:proofErr w:type="spellStart"/>
      <w:r w:rsidR="00387E93" w:rsidRPr="007A2C81">
        <w:rPr>
          <w:szCs w:val="24"/>
        </w:rPr>
        <w:t>Tye</w:t>
      </w:r>
      <w:proofErr w:type="spellEnd"/>
      <w:r w:rsidR="00387E93" w:rsidRPr="007A2C81">
        <w:rPr>
          <w:szCs w:val="24"/>
        </w:rPr>
        <w:t xml:space="preserve"> 1978: 220; McKay 1981: 301n).</w:t>
      </w:r>
      <w:r w:rsidR="00387E93" w:rsidRPr="007A2C81">
        <w:rPr>
          <w:rStyle w:val="FootnoteReference"/>
          <w:szCs w:val="24"/>
        </w:rPr>
        <w:footnoteReference w:id="36"/>
      </w:r>
      <w:r w:rsidR="00387E93" w:rsidRPr="007A2C81">
        <w:rPr>
          <w:szCs w:val="24"/>
        </w:rPr>
        <w:t xml:space="preserve"> And McKay claims that the view “has quickly become a commonplace” (p.  287). So, by the end of the 70s direct reference was well and truly in the air despite a mostly mistaken view of where precisely it had come from.</w:t>
      </w:r>
      <w:r w:rsidR="00387E93" w:rsidRPr="007A2C81">
        <w:rPr>
          <w:rStyle w:val="FootnoteReference"/>
          <w:szCs w:val="24"/>
        </w:rPr>
        <w:footnoteReference w:id="37"/>
      </w:r>
    </w:p>
    <w:p w:rsidR="00387E93" w:rsidRPr="007A2C81" w:rsidRDefault="00387E93" w:rsidP="00387E93">
      <w:pPr>
        <w:rPr>
          <w:szCs w:val="24"/>
        </w:rPr>
      </w:pPr>
    </w:p>
    <w:p w:rsidR="0025293A" w:rsidRPr="007A2C81" w:rsidRDefault="00387E93" w:rsidP="0025293A">
      <w:pPr>
        <w:ind w:firstLine="720"/>
        <w:rPr>
          <w:szCs w:val="24"/>
        </w:rPr>
      </w:pPr>
      <w:r w:rsidRPr="007A2C81">
        <w:rPr>
          <w:szCs w:val="24"/>
        </w:rPr>
        <w:t xml:space="preserve">But what about Kaplan? This is a fascinating story. Although the direct reference theory of names is </w:t>
      </w:r>
      <w:r w:rsidR="00E164C2" w:rsidRPr="007A2C81">
        <w:rPr>
          <w:szCs w:val="24"/>
        </w:rPr>
        <w:t xml:space="preserve">not </w:t>
      </w:r>
      <w:r w:rsidRPr="007A2C81">
        <w:rPr>
          <w:szCs w:val="24"/>
        </w:rPr>
        <w:t>clearly in “</w:t>
      </w:r>
      <w:proofErr w:type="spellStart"/>
      <w:r w:rsidRPr="007A2C81">
        <w:rPr>
          <w:szCs w:val="24"/>
        </w:rPr>
        <w:t>Dthat</w:t>
      </w:r>
      <w:proofErr w:type="spellEnd"/>
      <w:r w:rsidRPr="007A2C81">
        <w:rPr>
          <w:szCs w:val="24"/>
        </w:rPr>
        <w:t xml:space="preserve">”, it is in the influential paper “Demonstratives” (1989a) that circulated widely in the 70s, long before it was published.  This paper introduced the </w:t>
      </w:r>
      <w:r w:rsidRPr="007A2C81">
        <w:rPr>
          <w:i/>
          <w:szCs w:val="24"/>
        </w:rPr>
        <w:t>term</w:t>
      </w:r>
      <w:r w:rsidRPr="007A2C81">
        <w:rPr>
          <w:szCs w:val="24"/>
        </w:rPr>
        <w:t xml:space="preserve"> “direct reference” but used it primarily in the discussion of </w:t>
      </w:r>
      <w:proofErr w:type="spellStart"/>
      <w:r w:rsidRPr="007A2C81">
        <w:rPr>
          <w:szCs w:val="24"/>
        </w:rPr>
        <w:t>indexicals</w:t>
      </w:r>
      <w:proofErr w:type="spellEnd"/>
      <w:r w:rsidRPr="007A2C81">
        <w:rPr>
          <w:szCs w:val="24"/>
        </w:rPr>
        <w:t xml:space="preserve"> and demonstratives. Only in “the most hastily written section” (p. 558) does Kaplan, somewhat tentatively, adopt the direct reference theory of names (p. 562).</w:t>
      </w:r>
      <w:r w:rsidRPr="007A2C81">
        <w:rPr>
          <w:rStyle w:val="FootnoteReference"/>
          <w:szCs w:val="24"/>
        </w:rPr>
        <w:footnoteReference w:id="38"/>
      </w:r>
      <w:r w:rsidRPr="007A2C81">
        <w:rPr>
          <w:szCs w:val="24"/>
        </w:rPr>
        <w:t xml:space="preserve"> And, in a final</w:t>
      </w:r>
      <w:r w:rsidRPr="007A2C81">
        <w:rPr>
          <w:spacing w:val="-3"/>
          <w:szCs w:val="24"/>
        </w:rPr>
        <w:t xml:space="preserve"> footnote, Kaplan briefly raises the possibility of a view with some similarities to mine (563n). Such a view is further explored in his “Afterthoughts”, although his considered position is direct reference (1989b: 574-77, 598-99). Yet recently, and remarkably, </w:t>
      </w:r>
      <w:r w:rsidRPr="007A2C81">
        <w:rPr>
          <w:szCs w:val="24"/>
        </w:rPr>
        <w:t>Kaplan (2012) has urged much the same view as mine, and for much the same reason as I did, apparently unaware that the view has been around for forty years</w:t>
      </w:r>
      <w:r w:rsidRPr="007A2C81">
        <w:rPr>
          <w:rStyle w:val="FootnoteReference"/>
          <w:szCs w:val="24"/>
        </w:rPr>
        <w:footnoteReference w:id="39"/>
      </w:r>
      <w:r w:rsidRPr="007A2C81">
        <w:rPr>
          <w:szCs w:val="24"/>
        </w:rPr>
        <w:t xml:space="preserve"> and that it is generally regarded as shocking.</w:t>
      </w:r>
    </w:p>
    <w:p w:rsidR="00434EF3" w:rsidRPr="007A2C81" w:rsidRDefault="00434EF3" w:rsidP="00434EF3">
      <w:pPr>
        <w:tabs>
          <w:tab w:val="left" w:pos="-720"/>
        </w:tabs>
        <w:suppressAutoHyphens/>
        <w:rPr>
          <w:szCs w:val="24"/>
        </w:rPr>
      </w:pPr>
    </w:p>
    <w:p w:rsidR="00434EF3" w:rsidRPr="007A2C81" w:rsidRDefault="00E56825" w:rsidP="00434EF3">
      <w:pPr>
        <w:tabs>
          <w:tab w:val="left" w:pos="-720"/>
        </w:tabs>
        <w:suppressAutoHyphens/>
        <w:rPr>
          <w:b/>
          <w:szCs w:val="24"/>
        </w:rPr>
      </w:pPr>
      <w:r w:rsidRPr="007A2C81">
        <w:rPr>
          <w:b/>
          <w:szCs w:val="24"/>
        </w:rPr>
        <w:t>6</w:t>
      </w:r>
      <w:r w:rsidR="008C0119" w:rsidRPr="007A2C81">
        <w:rPr>
          <w:b/>
          <w:szCs w:val="24"/>
        </w:rPr>
        <w:t xml:space="preserve">. </w:t>
      </w:r>
      <w:r w:rsidR="005B2758" w:rsidRPr="007A2C81">
        <w:rPr>
          <w:b/>
          <w:szCs w:val="24"/>
        </w:rPr>
        <w:t>Biological</w:t>
      </w:r>
      <w:r w:rsidR="00E42B52" w:rsidRPr="007A2C81">
        <w:rPr>
          <w:b/>
          <w:szCs w:val="24"/>
        </w:rPr>
        <w:t xml:space="preserve"> </w:t>
      </w:r>
      <w:r w:rsidR="008C0119" w:rsidRPr="007A2C81">
        <w:rPr>
          <w:b/>
          <w:szCs w:val="24"/>
        </w:rPr>
        <w:t>Kind Essentialism</w:t>
      </w:r>
    </w:p>
    <w:p w:rsidR="008C0119" w:rsidRPr="007A2C81" w:rsidRDefault="008C0119" w:rsidP="008C0119">
      <w:pPr>
        <w:pStyle w:val="FootnoteText"/>
        <w:ind w:left="720" w:hanging="720"/>
        <w:rPr>
          <w:sz w:val="24"/>
          <w:szCs w:val="24"/>
        </w:rPr>
      </w:pPr>
    </w:p>
    <w:p w:rsidR="00F34233" w:rsidRPr="007A2C81" w:rsidRDefault="00DF4D2E" w:rsidP="00B35F8A">
      <w:pPr>
        <w:pStyle w:val="FootnoteText"/>
        <w:rPr>
          <w:sz w:val="24"/>
          <w:szCs w:val="24"/>
        </w:rPr>
      </w:pPr>
      <w:r w:rsidRPr="007A2C81">
        <w:rPr>
          <w:sz w:val="24"/>
          <w:szCs w:val="24"/>
        </w:rPr>
        <w:t>Kripke argues that the nature or essence of</w:t>
      </w:r>
      <w:r w:rsidR="00B35F8A" w:rsidRPr="007A2C81">
        <w:rPr>
          <w:sz w:val="24"/>
          <w:szCs w:val="24"/>
        </w:rPr>
        <w:t xml:space="preserve"> </w:t>
      </w:r>
      <w:r w:rsidR="00F250DF" w:rsidRPr="007A2C81">
        <w:rPr>
          <w:sz w:val="24"/>
          <w:szCs w:val="24"/>
        </w:rPr>
        <w:t>some</w:t>
      </w:r>
      <w:r w:rsidRPr="007A2C81">
        <w:rPr>
          <w:sz w:val="24"/>
          <w:szCs w:val="24"/>
        </w:rPr>
        <w:t xml:space="preserve"> </w:t>
      </w:r>
      <w:r w:rsidR="00B35F8A" w:rsidRPr="007A2C81">
        <w:rPr>
          <w:sz w:val="24"/>
          <w:szCs w:val="24"/>
        </w:rPr>
        <w:t>“natural”</w:t>
      </w:r>
      <w:r w:rsidR="00D13E78" w:rsidRPr="007A2C81">
        <w:rPr>
          <w:sz w:val="24"/>
          <w:szCs w:val="24"/>
        </w:rPr>
        <w:t xml:space="preserve"> kind</w:t>
      </w:r>
      <w:r w:rsidR="00F250DF" w:rsidRPr="007A2C81">
        <w:rPr>
          <w:sz w:val="24"/>
          <w:szCs w:val="24"/>
        </w:rPr>
        <w:t>s</w:t>
      </w:r>
      <w:r w:rsidR="00D13E78" w:rsidRPr="007A2C81">
        <w:rPr>
          <w:sz w:val="24"/>
          <w:szCs w:val="24"/>
        </w:rPr>
        <w:t>,</w:t>
      </w:r>
      <w:r w:rsidR="00B35F8A" w:rsidRPr="007A2C81">
        <w:rPr>
          <w:sz w:val="24"/>
          <w:szCs w:val="24"/>
        </w:rPr>
        <w:t xml:space="preserve"> </w:t>
      </w:r>
      <w:r w:rsidRPr="007A2C81">
        <w:rPr>
          <w:sz w:val="24"/>
          <w:szCs w:val="24"/>
        </w:rPr>
        <w:t>biological kind</w:t>
      </w:r>
      <w:r w:rsidR="00183029" w:rsidRPr="007A2C81">
        <w:rPr>
          <w:sz w:val="24"/>
          <w:szCs w:val="24"/>
        </w:rPr>
        <w:t>s</w:t>
      </w:r>
      <w:r w:rsidRPr="007A2C81">
        <w:rPr>
          <w:sz w:val="24"/>
          <w:szCs w:val="24"/>
        </w:rPr>
        <w:t xml:space="preserve"> like tigers </w:t>
      </w:r>
      <w:r w:rsidR="00183029" w:rsidRPr="007A2C81">
        <w:rPr>
          <w:sz w:val="24"/>
          <w:szCs w:val="24"/>
        </w:rPr>
        <w:t>and</w:t>
      </w:r>
      <w:r w:rsidRPr="007A2C81">
        <w:rPr>
          <w:sz w:val="24"/>
          <w:szCs w:val="24"/>
        </w:rPr>
        <w:t xml:space="preserve"> cats</w:t>
      </w:r>
      <w:r w:rsidR="00B35F8A" w:rsidRPr="007A2C81">
        <w:rPr>
          <w:sz w:val="24"/>
          <w:szCs w:val="24"/>
        </w:rPr>
        <w:t>,</w:t>
      </w:r>
      <w:r w:rsidRPr="007A2C81">
        <w:rPr>
          <w:sz w:val="24"/>
          <w:szCs w:val="24"/>
        </w:rPr>
        <w:t xml:space="preserve"> chemical kind</w:t>
      </w:r>
      <w:r w:rsidR="00183029" w:rsidRPr="007A2C81">
        <w:rPr>
          <w:sz w:val="24"/>
          <w:szCs w:val="24"/>
        </w:rPr>
        <w:t>s</w:t>
      </w:r>
      <w:r w:rsidRPr="007A2C81">
        <w:rPr>
          <w:sz w:val="24"/>
          <w:szCs w:val="24"/>
        </w:rPr>
        <w:t xml:space="preserve"> like gold </w:t>
      </w:r>
      <w:r w:rsidR="00183029" w:rsidRPr="007A2C81">
        <w:rPr>
          <w:sz w:val="24"/>
          <w:szCs w:val="24"/>
        </w:rPr>
        <w:t>and</w:t>
      </w:r>
      <w:r w:rsidRPr="007A2C81">
        <w:rPr>
          <w:sz w:val="24"/>
          <w:szCs w:val="24"/>
        </w:rPr>
        <w:t xml:space="preserve"> water</w:t>
      </w:r>
      <w:r w:rsidR="00D13E78" w:rsidRPr="007A2C81">
        <w:rPr>
          <w:sz w:val="24"/>
          <w:szCs w:val="24"/>
        </w:rPr>
        <w:t>,</w:t>
      </w:r>
      <w:r w:rsidRPr="007A2C81">
        <w:rPr>
          <w:sz w:val="24"/>
          <w:szCs w:val="24"/>
        </w:rPr>
        <w:t xml:space="preserve"> is not constituted by</w:t>
      </w:r>
      <w:r w:rsidR="00183029" w:rsidRPr="007A2C81">
        <w:rPr>
          <w:sz w:val="24"/>
          <w:szCs w:val="24"/>
        </w:rPr>
        <w:t xml:space="preserve"> the “</w:t>
      </w:r>
      <w:r w:rsidRPr="007A2C81">
        <w:rPr>
          <w:sz w:val="24"/>
          <w:szCs w:val="24"/>
        </w:rPr>
        <w:t>external appearances</w:t>
      </w:r>
      <w:r w:rsidR="00F34233" w:rsidRPr="007A2C81">
        <w:rPr>
          <w:sz w:val="24"/>
          <w:szCs w:val="24"/>
        </w:rPr>
        <w:t>”</w:t>
      </w:r>
      <w:r w:rsidR="00183029" w:rsidRPr="007A2C81">
        <w:rPr>
          <w:sz w:val="24"/>
          <w:szCs w:val="24"/>
        </w:rPr>
        <w:t xml:space="preserve"> of members of the kind</w:t>
      </w:r>
      <w:r w:rsidR="00F34233" w:rsidRPr="007A2C81">
        <w:rPr>
          <w:sz w:val="24"/>
          <w:szCs w:val="24"/>
        </w:rPr>
        <w:t xml:space="preserve">, </w:t>
      </w:r>
      <w:r w:rsidR="00726C68">
        <w:rPr>
          <w:sz w:val="24"/>
          <w:szCs w:val="24"/>
        </w:rPr>
        <w:t xml:space="preserve">not </w:t>
      </w:r>
      <w:r w:rsidR="00F34233" w:rsidRPr="007A2C81">
        <w:rPr>
          <w:sz w:val="24"/>
          <w:szCs w:val="24"/>
        </w:rPr>
        <w:t xml:space="preserve">by the properties we commonly </w:t>
      </w:r>
      <w:proofErr w:type="spellStart"/>
      <w:r w:rsidR="00F34233" w:rsidRPr="007A2C81">
        <w:rPr>
          <w:sz w:val="24"/>
          <w:szCs w:val="24"/>
        </w:rPr>
        <w:t>use</w:t>
      </w:r>
      <w:proofErr w:type="spellEnd"/>
      <w:r w:rsidR="00F34233" w:rsidRPr="007A2C81">
        <w:rPr>
          <w:sz w:val="24"/>
          <w:szCs w:val="24"/>
        </w:rPr>
        <w:t xml:space="preserve"> to identify</w:t>
      </w:r>
      <w:r w:rsidR="00183029" w:rsidRPr="007A2C81">
        <w:rPr>
          <w:sz w:val="24"/>
          <w:szCs w:val="24"/>
        </w:rPr>
        <w:t xml:space="preserve"> members</w:t>
      </w:r>
      <w:r w:rsidR="000315BE" w:rsidRPr="007A2C81">
        <w:rPr>
          <w:sz w:val="24"/>
          <w:szCs w:val="24"/>
        </w:rPr>
        <w:t xml:space="preserve">; for example, tigers are </w:t>
      </w:r>
      <w:r w:rsidR="000315BE" w:rsidRPr="007A2C81">
        <w:rPr>
          <w:i/>
          <w:sz w:val="24"/>
          <w:szCs w:val="24"/>
        </w:rPr>
        <w:t>not</w:t>
      </w:r>
      <w:r w:rsidR="000315BE" w:rsidRPr="007A2C81">
        <w:rPr>
          <w:sz w:val="24"/>
          <w:szCs w:val="24"/>
        </w:rPr>
        <w:t xml:space="preserve"> </w:t>
      </w:r>
      <w:r w:rsidR="000315BE" w:rsidRPr="007A2C81">
        <w:rPr>
          <w:i/>
          <w:sz w:val="24"/>
          <w:szCs w:val="24"/>
        </w:rPr>
        <w:t>essentially</w:t>
      </w:r>
      <w:r w:rsidR="000315BE" w:rsidRPr="007A2C81">
        <w:rPr>
          <w:sz w:val="24"/>
          <w:szCs w:val="24"/>
        </w:rPr>
        <w:t xml:space="preserve"> large carnivorous quadr</w:t>
      </w:r>
      <w:r w:rsidR="00B35F8A" w:rsidRPr="007A2C81">
        <w:rPr>
          <w:sz w:val="24"/>
          <w:szCs w:val="24"/>
        </w:rPr>
        <w:t>up</w:t>
      </w:r>
      <w:r w:rsidR="000315BE" w:rsidRPr="007A2C81">
        <w:rPr>
          <w:sz w:val="24"/>
          <w:szCs w:val="24"/>
        </w:rPr>
        <w:t>edal felines etc., as described in the OED</w:t>
      </w:r>
      <w:r w:rsidR="00F34233" w:rsidRPr="007A2C81">
        <w:rPr>
          <w:sz w:val="24"/>
          <w:szCs w:val="24"/>
        </w:rPr>
        <w:t xml:space="preserve">. This </w:t>
      </w:r>
      <w:r w:rsidR="00D13E78" w:rsidRPr="007A2C81">
        <w:rPr>
          <w:sz w:val="24"/>
          <w:szCs w:val="24"/>
        </w:rPr>
        <w:t xml:space="preserve">metaphysical view </w:t>
      </w:r>
      <w:r w:rsidR="00F34233" w:rsidRPr="007A2C81">
        <w:rPr>
          <w:sz w:val="24"/>
          <w:szCs w:val="24"/>
        </w:rPr>
        <w:t>is the</w:t>
      </w:r>
      <w:r w:rsidR="00B35F8A" w:rsidRPr="007A2C81">
        <w:rPr>
          <w:sz w:val="24"/>
          <w:szCs w:val="24"/>
        </w:rPr>
        <w:t xml:space="preserve"> main</w:t>
      </w:r>
      <w:r w:rsidR="00F34233" w:rsidRPr="007A2C81">
        <w:rPr>
          <w:sz w:val="24"/>
          <w:szCs w:val="24"/>
        </w:rPr>
        <w:t xml:space="preserve"> basis for </w:t>
      </w:r>
      <w:proofErr w:type="spellStart"/>
      <w:r w:rsidR="00D13E78" w:rsidRPr="007A2C81">
        <w:rPr>
          <w:sz w:val="24"/>
          <w:szCs w:val="24"/>
        </w:rPr>
        <w:t>Kripke</w:t>
      </w:r>
      <w:r w:rsidR="00295CE0" w:rsidRPr="007A2C81">
        <w:rPr>
          <w:sz w:val="24"/>
          <w:szCs w:val="24"/>
        </w:rPr>
        <w:t>’</w:t>
      </w:r>
      <w:r w:rsidR="00D13E78" w:rsidRPr="007A2C81">
        <w:rPr>
          <w:sz w:val="24"/>
          <w:szCs w:val="24"/>
        </w:rPr>
        <w:t>s</w:t>
      </w:r>
      <w:proofErr w:type="spellEnd"/>
      <w:r w:rsidR="00F34233" w:rsidRPr="007A2C81">
        <w:rPr>
          <w:sz w:val="24"/>
          <w:szCs w:val="24"/>
        </w:rPr>
        <w:t xml:space="preserve"> rejection of</w:t>
      </w:r>
      <w:r w:rsidR="00B35F8A" w:rsidRPr="007A2C81">
        <w:rPr>
          <w:sz w:val="24"/>
          <w:szCs w:val="24"/>
        </w:rPr>
        <w:t xml:space="preserve"> the</w:t>
      </w:r>
      <w:r w:rsidR="00F34233" w:rsidRPr="007A2C81">
        <w:rPr>
          <w:sz w:val="24"/>
          <w:szCs w:val="24"/>
        </w:rPr>
        <w:t xml:space="preserve"> de</w:t>
      </w:r>
      <w:r w:rsidR="00B35F8A" w:rsidRPr="007A2C81">
        <w:rPr>
          <w:sz w:val="24"/>
          <w:szCs w:val="24"/>
        </w:rPr>
        <w:t xml:space="preserve">scription theory </w:t>
      </w:r>
      <w:r w:rsidR="00D13E78" w:rsidRPr="007A2C81">
        <w:rPr>
          <w:sz w:val="24"/>
          <w:szCs w:val="24"/>
        </w:rPr>
        <w:t xml:space="preserve">that the reference of </w:t>
      </w:r>
      <w:r w:rsidR="00726C68">
        <w:rPr>
          <w:sz w:val="24"/>
          <w:szCs w:val="24"/>
        </w:rPr>
        <w:t>a</w:t>
      </w:r>
      <w:r w:rsidR="00D13E78" w:rsidRPr="007A2C81">
        <w:rPr>
          <w:sz w:val="24"/>
          <w:szCs w:val="24"/>
        </w:rPr>
        <w:t xml:space="preserve"> “natural” kind term</w:t>
      </w:r>
      <w:r w:rsidR="00726C68">
        <w:rPr>
          <w:sz w:val="24"/>
          <w:szCs w:val="24"/>
        </w:rPr>
        <w:t xml:space="preserve"> is</w:t>
      </w:r>
      <w:r w:rsidR="00D13E78" w:rsidRPr="007A2C81">
        <w:rPr>
          <w:sz w:val="24"/>
          <w:szCs w:val="24"/>
        </w:rPr>
        <w:t xml:space="preserve"> determined by a description of such external appearances.</w:t>
      </w:r>
      <w:r w:rsidR="00F34233" w:rsidRPr="007A2C81">
        <w:rPr>
          <w:sz w:val="24"/>
          <w:szCs w:val="24"/>
        </w:rPr>
        <w:t xml:space="preserve"> What then </w:t>
      </w:r>
      <w:r w:rsidR="00F34233" w:rsidRPr="007A2C81">
        <w:rPr>
          <w:i/>
          <w:sz w:val="24"/>
          <w:szCs w:val="24"/>
        </w:rPr>
        <w:t>is</w:t>
      </w:r>
      <w:r w:rsidR="00F34233" w:rsidRPr="007A2C81">
        <w:rPr>
          <w:sz w:val="24"/>
          <w:szCs w:val="24"/>
        </w:rPr>
        <w:t xml:space="preserve"> the essence</w:t>
      </w:r>
      <w:r w:rsidR="000315BE" w:rsidRPr="007A2C81">
        <w:rPr>
          <w:sz w:val="24"/>
          <w:szCs w:val="24"/>
        </w:rPr>
        <w:t xml:space="preserve"> of such a kind</w:t>
      </w:r>
      <w:r w:rsidR="00F34233" w:rsidRPr="007A2C81">
        <w:rPr>
          <w:sz w:val="24"/>
          <w:szCs w:val="24"/>
        </w:rPr>
        <w:t>?</w:t>
      </w:r>
      <w:r w:rsidR="000315BE" w:rsidRPr="007A2C81">
        <w:rPr>
          <w:sz w:val="24"/>
          <w:szCs w:val="24"/>
        </w:rPr>
        <w:t xml:space="preserve"> According to Kripke, it is (at least partly) a certain underlying “internal structure”</w:t>
      </w:r>
      <w:r w:rsidR="00B35F8A" w:rsidRPr="007A2C81">
        <w:rPr>
          <w:sz w:val="24"/>
          <w:szCs w:val="24"/>
        </w:rPr>
        <w:t xml:space="preserve"> (119-121).</w:t>
      </w:r>
      <w:r w:rsidR="00D13E78" w:rsidRPr="007A2C81">
        <w:rPr>
          <w:sz w:val="24"/>
          <w:szCs w:val="24"/>
        </w:rPr>
        <w:t xml:space="preserve"> </w:t>
      </w:r>
      <w:r w:rsidR="006651C3" w:rsidRPr="007A2C81">
        <w:rPr>
          <w:sz w:val="24"/>
          <w:szCs w:val="24"/>
        </w:rPr>
        <w:t>Thus, a</w:t>
      </w:r>
      <w:r w:rsidR="00D13E78" w:rsidRPr="007A2C81">
        <w:rPr>
          <w:sz w:val="24"/>
          <w:szCs w:val="24"/>
        </w:rPr>
        <w:t>nything that lacked the</w:t>
      </w:r>
      <w:r w:rsidR="00D13E78" w:rsidRPr="007A2C81">
        <w:rPr>
          <w:rFonts w:eastAsiaTheme="minorEastAsia"/>
          <w:spacing w:val="-3"/>
          <w:sz w:val="24"/>
          <w:szCs w:val="24"/>
        </w:rPr>
        <w:t xml:space="preserve"> </w:t>
      </w:r>
      <w:r w:rsidR="00D13E78" w:rsidRPr="007A2C81">
        <w:rPr>
          <w:sz w:val="24"/>
          <w:szCs w:val="24"/>
        </w:rPr>
        <w:t xml:space="preserve">“atomic structure” of gold </w:t>
      </w:r>
      <w:r w:rsidR="0028225C" w:rsidRPr="007A2C81">
        <w:rPr>
          <w:sz w:val="24"/>
          <w:szCs w:val="24"/>
        </w:rPr>
        <w:t>“</w:t>
      </w:r>
      <w:r w:rsidR="00D13E78" w:rsidRPr="007A2C81">
        <w:rPr>
          <w:sz w:val="24"/>
          <w:szCs w:val="24"/>
        </w:rPr>
        <w:t>would not be gold”</w:t>
      </w:r>
      <w:r w:rsidR="0028225C" w:rsidRPr="007A2C81">
        <w:rPr>
          <w:sz w:val="24"/>
          <w:szCs w:val="24"/>
        </w:rPr>
        <w:t xml:space="preserve"> (124).</w:t>
      </w:r>
    </w:p>
    <w:p w:rsidR="005B2758" w:rsidRPr="007A2C81" w:rsidRDefault="005B2758" w:rsidP="00B35F8A">
      <w:pPr>
        <w:pStyle w:val="FootnoteText"/>
        <w:rPr>
          <w:sz w:val="24"/>
          <w:szCs w:val="24"/>
        </w:rPr>
      </w:pPr>
    </w:p>
    <w:p w:rsidR="005B2758" w:rsidRPr="007A2C81" w:rsidRDefault="005B2758" w:rsidP="00B35F8A">
      <w:pPr>
        <w:pStyle w:val="FootnoteText"/>
        <w:rPr>
          <w:sz w:val="24"/>
          <w:szCs w:val="24"/>
        </w:rPr>
      </w:pPr>
      <w:r w:rsidRPr="007A2C81">
        <w:rPr>
          <w:sz w:val="24"/>
          <w:szCs w:val="24"/>
        </w:rPr>
        <w:tab/>
        <w:t>I shall consider biological kinds in this section, chemical kinds in the next.</w:t>
      </w:r>
    </w:p>
    <w:p w:rsidR="0028225C" w:rsidRPr="007A2C81" w:rsidRDefault="0028225C" w:rsidP="00B35F8A">
      <w:pPr>
        <w:pStyle w:val="FootnoteText"/>
        <w:rPr>
          <w:sz w:val="24"/>
          <w:szCs w:val="24"/>
        </w:rPr>
      </w:pPr>
    </w:p>
    <w:p w:rsidR="00854EB7" w:rsidRPr="007A2C81" w:rsidRDefault="0028225C" w:rsidP="005B2758">
      <w:pPr>
        <w:ind w:firstLine="720"/>
        <w:rPr>
          <w:spacing w:val="-3"/>
          <w:szCs w:val="24"/>
        </w:rPr>
      </w:pPr>
      <w:r w:rsidRPr="007A2C81">
        <w:rPr>
          <w:szCs w:val="24"/>
        </w:rPr>
        <w:t xml:space="preserve">It would be hard to exaggerate </w:t>
      </w:r>
      <w:r w:rsidR="001C13E8" w:rsidRPr="007A2C81">
        <w:rPr>
          <w:szCs w:val="24"/>
        </w:rPr>
        <w:t>the scorn that</w:t>
      </w:r>
      <w:r w:rsidRPr="007A2C81">
        <w:rPr>
          <w:szCs w:val="24"/>
        </w:rPr>
        <w:t xml:space="preserve"> biologists</w:t>
      </w:r>
      <w:r w:rsidR="00854EB7" w:rsidRPr="007A2C81">
        <w:rPr>
          <w:szCs w:val="24"/>
        </w:rPr>
        <w:t xml:space="preserve"> </w:t>
      </w:r>
      <w:r w:rsidRPr="007A2C81">
        <w:rPr>
          <w:szCs w:val="24"/>
        </w:rPr>
        <w:t>and</w:t>
      </w:r>
      <w:r w:rsidR="002A7994" w:rsidRPr="007A2C81">
        <w:rPr>
          <w:szCs w:val="24"/>
        </w:rPr>
        <w:t>,</w:t>
      </w:r>
      <w:r w:rsidRPr="007A2C81">
        <w:rPr>
          <w:szCs w:val="24"/>
        </w:rPr>
        <w:t xml:space="preserve"> particularly, philosophers of biology, </w:t>
      </w:r>
      <w:r w:rsidR="00606559" w:rsidRPr="007A2C81">
        <w:rPr>
          <w:szCs w:val="24"/>
        </w:rPr>
        <w:t>have</w:t>
      </w:r>
      <w:r w:rsidRPr="007A2C81">
        <w:rPr>
          <w:szCs w:val="24"/>
        </w:rPr>
        <w:t xml:space="preserve"> </w:t>
      </w:r>
      <w:r w:rsidR="001C13E8" w:rsidRPr="007A2C81">
        <w:rPr>
          <w:szCs w:val="24"/>
        </w:rPr>
        <w:t>for</w:t>
      </w:r>
      <w:r w:rsidRPr="007A2C81">
        <w:rPr>
          <w:szCs w:val="24"/>
        </w:rPr>
        <w:t xml:space="preserve"> </w:t>
      </w:r>
      <w:proofErr w:type="spellStart"/>
      <w:r w:rsidR="005B2758" w:rsidRPr="007A2C81">
        <w:rPr>
          <w:szCs w:val="24"/>
        </w:rPr>
        <w:t>Kripke’s</w:t>
      </w:r>
      <w:proofErr w:type="spellEnd"/>
      <w:r w:rsidRPr="007A2C81">
        <w:rPr>
          <w:szCs w:val="24"/>
        </w:rPr>
        <w:t xml:space="preserve"> view of tigers</w:t>
      </w:r>
      <w:r w:rsidR="003C7ED3" w:rsidRPr="007A2C81">
        <w:rPr>
          <w:szCs w:val="24"/>
        </w:rPr>
        <w:t>,</w:t>
      </w:r>
      <w:r w:rsidRPr="007A2C81">
        <w:rPr>
          <w:szCs w:val="24"/>
        </w:rPr>
        <w:t xml:space="preserve"> cats</w:t>
      </w:r>
      <w:r w:rsidR="003C7ED3" w:rsidRPr="007A2C81">
        <w:rPr>
          <w:szCs w:val="24"/>
        </w:rPr>
        <w:t>, and species in general</w:t>
      </w:r>
      <w:r w:rsidRPr="007A2C81">
        <w:rPr>
          <w:szCs w:val="24"/>
        </w:rPr>
        <w:t>.</w:t>
      </w:r>
      <w:r w:rsidR="00854EB7" w:rsidRPr="007A2C81">
        <w:rPr>
          <w:szCs w:val="24"/>
        </w:rPr>
        <w:t xml:space="preserve"> </w:t>
      </w:r>
      <w:r w:rsidR="003C7ED3" w:rsidRPr="007A2C81">
        <w:rPr>
          <w:szCs w:val="24"/>
        </w:rPr>
        <w:t>His</w:t>
      </w:r>
      <w:r w:rsidR="00854EB7" w:rsidRPr="007A2C81">
        <w:rPr>
          <w:szCs w:val="24"/>
        </w:rPr>
        <w:t xml:space="preserve"> view is thought to smack of</w:t>
      </w:r>
      <w:r w:rsidR="00854EB7" w:rsidRPr="007A2C81">
        <w:rPr>
          <w:spacing w:val="-3"/>
          <w:szCs w:val="24"/>
        </w:rPr>
        <w:t xml:space="preserve"> “Aristotelian essentialism” and reflect a naive and uninformed view of biology that is incompatible with Darwinism. </w:t>
      </w:r>
      <w:r w:rsidR="00B25698" w:rsidRPr="007A2C81">
        <w:rPr>
          <w:spacing w:val="-3"/>
          <w:szCs w:val="24"/>
        </w:rPr>
        <w:t xml:space="preserve">Thus, </w:t>
      </w:r>
      <w:r w:rsidR="00B25698" w:rsidRPr="007A2C81">
        <w:rPr>
          <w:szCs w:val="24"/>
        </w:rPr>
        <w:t>Michael Ruse places Kripke, along with Putnam and Wiggins who have similar essentialist views, “somewhere to the right of Aristotle” and talks of them showing “an almost proud ignora</w:t>
      </w:r>
      <w:r w:rsidR="00183029" w:rsidRPr="007A2C81">
        <w:rPr>
          <w:szCs w:val="24"/>
        </w:rPr>
        <w:t>nce of the organic world” (1987:</w:t>
      </w:r>
      <w:r w:rsidR="00B25698" w:rsidRPr="007A2C81">
        <w:rPr>
          <w:szCs w:val="24"/>
        </w:rPr>
        <w:t xml:space="preserve"> 358n). John </w:t>
      </w:r>
      <w:proofErr w:type="spellStart"/>
      <w:r w:rsidR="00B25698" w:rsidRPr="007A2C81">
        <w:rPr>
          <w:szCs w:val="24"/>
        </w:rPr>
        <w:t>Dupré</w:t>
      </w:r>
      <w:proofErr w:type="spellEnd"/>
      <w:r w:rsidR="00B25698" w:rsidRPr="007A2C81">
        <w:rPr>
          <w:szCs w:val="24"/>
        </w:rPr>
        <w:t xml:space="preserve"> argues that the views of Putnam and Kripke are fatally divergent from “some actual biological facts and t</w:t>
      </w:r>
      <w:r w:rsidR="00183029" w:rsidRPr="007A2C81">
        <w:rPr>
          <w:szCs w:val="24"/>
        </w:rPr>
        <w:t>heories” (1981:</w:t>
      </w:r>
      <w:r w:rsidR="00B25698" w:rsidRPr="007A2C81">
        <w:rPr>
          <w:szCs w:val="24"/>
        </w:rPr>
        <w:t xml:space="preserve"> 66). </w:t>
      </w:r>
      <w:r w:rsidR="002A7994" w:rsidRPr="007A2C81">
        <w:rPr>
          <w:szCs w:val="24"/>
        </w:rPr>
        <w:t xml:space="preserve">The </w:t>
      </w:r>
      <w:r w:rsidR="006651C3" w:rsidRPr="007A2C81">
        <w:rPr>
          <w:szCs w:val="24"/>
        </w:rPr>
        <w:t>view of species held by the consensus</w:t>
      </w:r>
      <w:r w:rsidR="002A7994" w:rsidRPr="007A2C81">
        <w:rPr>
          <w:szCs w:val="24"/>
        </w:rPr>
        <w:t xml:space="preserve"> is</w:t>
      </w:r>
      <w:r w:rsidR="006651C3" w:rsidRPr="007A2C81">
        <w:rPr>
          <w:szCs w:val="24"/>
        </w:rPr>
        <w:t xml:space="preserve"> totally at odds with</w:t>
      </w:r>
      <w:r w:rsidR="006651C3" w:rsidRPr="007A2C81">
        <w:rPr>
          <w:spacing w:val="-3"/>
          <w:szCs w:val="24"/>
        </w:rPr>
        <w:t xml:space="preserve"> </w:t>
      </w:r>
      <w:proofErr w:type="spellStart"/>
      <w:r w:rsidR="006651C3" w:rsidRPr="007A2C81">
        <w:rPr>
          <w:spacing w:val="-3"/>
          <w:szCs w:val="24"/>
        </w:rPr>
        <w:t>Kripke</w:t>
      </w:r>
      <w:r w:rsidR="00295CE0" w:rsidRPr="007A2C81">
        <w:rPr>
          <w:spacing w:val="-3"/>
          <w:szCs w:val="24"/>
        </w:rPr>
        <w:t>’</w:t>
      </w:r>
      <w:r w:rsidR="006651C3" w:rsidRPr="007A2C81">
        <w:rPr>
          <w:spacing w:val="-3"/>
          <w:szCs w:val="24"/>
        </w:rPr>
        <w:t>s</w:t>
      </w:r>
      <w:proofErr w:type="spellEnd"/>
      <w:r w:rsidR="006651C3" w:rsidRPr="007A2C81">
        <w:rPr>
          <w:spacing w:val="-3"/>
          <w:szCs w:val="24"/>
        </w:rPr>
        <w:t xml:space="preserve"> sort of intrinsic essentialism</w:t>
      </w:r>
      <w:r w:rsidR="002A7994" w:rsidRPr="007A2C81">
        <w:rPr>
          <w:spacing w:val="-3"/>
          <w:szCs w:val="24"/>
        </w:rPr>
        <w:t xml:space="preserve">. Samir </w:t>
      </w:r>
      <w:proofErr w:type="spellStart"/>
      <w:r w:rsidR="002A7994" w:rsidRPr="007A2C81">
        <w:rPr>
          <w:spacing w:val="-3"/>
          <w:szCs w:val="24"/>
        </w:rPr>
        <w:t>Okasha</w:t>
      </w:r>
      <w:proofErr w:type="spellEnd"/>
      <w:r w:rsidR="002A7994" w:rsidRPr="007A2C81">
        <w:rPr>
          <w:spacing w:val="-3"/>
          <w:szCs w:val="24"/>
        </w:rPr>
        <w:t xml:space="preserve"> captures </w:t>
      </w:r>
      <w:r w:rsidR="006651C3" w:rsidRPr="007A2C81">
        <w:rPr>
          <w:spacing w:val="-3"/>
          <w:szCs w:val="24"/>
        </w:rPr>
        <w:t>the consensus</w:t>
      </w:r>
      <w:r w:rsidR="002A7994" w:rsidRPr="007A2C81">
        <w:rPr>
          <w:spacing w:val="-3"/>
          <w:szCs w:val="24"/>
        </w:rPr>
        <w:t xml:space="preserve"> well</w:t>
      </w:r>
      <w:r w:rsidR="00854EB7" w:rsidRPr="007A2C81">
        <w:rPr>
          <w:spacing w:val="-3"/>
          <w:szCs w:val="24"/>
        </w:rPr>
        <w:t>:</w:t>
      </w:r>
    </w:p>
    <w:p w:rsidR="00854EB7" w:rsidRPr="007A2C81" w:rsidRDefault="00854EB7" w:rsidP="00854EB7">
      <w:pPr>
        <w:tabs>
          <w:tab w:val="left" w:pos="-720"/>
        </w:tabs>
        <w:suppressAutoHyphens/>
        <w:ind w:left="720"/>
        <w:jc w:val="both"/>
        <w:rPr>
          <w:spacing w:val="-3"/>
          <w:szCs w:val="24"/>
        </w:rPr>
      </w:pPr>
    </w:p>
    <w:p w:rsidR="00854EB7" w:rsidRPr="007A2C81" w:rsidRDefault="00854EB7" w:rsidP="00854EB7">
      <w:pPr>
        <w:tabs>
          <w:tab w:val="left" w:pos="-720"/>
        </w:tabs>
        <w:suppressAutoHyphens/>
        <w:ind w:left="720"/>
        <w:jc w:val="both"/>
        <w:rPr>
          <w:spacing w:val="-3"/>
          <w:szCs w:val="24"/>
        </w:rPr>
      </w:pPr>
      <w:r w:rsidRPr="007A2C81">
        <w:rPr>
          <w:spacing w:val="-3"/>
          <w:szCs w:val="24"/>
        </w:rPr>
        <w:t>virtually all philosophers of biology agree that…it simply is not true that the groups of organisms that working biologists treat as con-specific share a set of common morphological, physiological or genetic traits which set the</w:t>
      </w:r>
      <w:r w:rsidR="00183029" w:rsidRPr="007A2C81">
        <w:rPr>
          <w:spacing w:val="-3"/>
          <w:szCs w:val="24"/>
        </w:rPr>
        <w:t>m off from other species. (2002:</w:t>
      </w:r>
      <w:r w:rsidRPr="007A2C81">
        <w:rPr>
          <w:spacing w:val="-3"/>
          <w:szCs w:val="24"/>
        </w:rPr>
        <w:t xml:space="preserve"> 196).</w:t>
      </w:r>
    </w:p>
    <w:p w:rsidR="00854EB7" w:rsidRPr="007A2C81" w:rsidRDefault="00854EB7" w:rsidP="00854EB7">
      <w:pPr>
        <w:tabs>
          <w:tab w:val="left" w:pos="-720"/>
        </w:tabs>
        <w:suppressAutoHyphens/>
        <w:ind w:left="720"/>
        <w:jc w:val="both"/>
        <w:rPr>
          <w:spacing w:val="-3"/>
          <w:szCs w:val="24"/>
        </w:rPr>
      </w:pPr>
    </w:p>
    <w:p w:rsidR="00854EB7" w:rsidRPr="007A2C81" w:rsidRDefault="00854EB7" w:rsidP="00854EB7">
      <w:pPr>
        <w:tabs>
          <w:tab w:val="left" w:pos="-720"/>
        </w:tabs>
        <w:suppressAutoHyphens/>
        <w:jc w:val="both"/>
        <w:rPr>
          <w:spacing w:val="-3"/>
          <w:szCs w:val="24"/>
        </w:rPr>
      </w:pPr>
      <w:r w:rsidRPr="007A2C81">
        <w:rPr>
          <w:spacing w:val="-3"/>
          <w:szCs w:val="24"/>
        </w:rPr>
        <w:t>On this matter, according to Sarah-Jane Leslie, “there is a degree of consensus among philosophers of biology (and indeed biologists) that is almost unprecedente</w:t>
      </w:r>
      <w:r w:rsidR="00183029" w:rsidRPr="007A2C81">
        <w:rPr>
          <w:spacing w:val="-3"/>
          <w:szCs w:val="24"/>
        </w:rPr>
        <w:t>d in philosophy at large” (2013:</w:t>
      </w:r>
      <w:r w:rsidRPr="007A2C81">
        <w:rPr>
          <w:spacing w:val="-3"/>
          <w:szCs w:val="24"/>
        </w:rPr>
        <w:t xml:space="preserve"> 132).</w:t>
      </w:r>
    </w:p>
    <w:p w:rsidR="00854EB7" w:rsidRPr="007A2C81" w:rsidRDefault="00854EB7" w:rsidP="00854EB7">
      <w:pPr>
        <w:tabs>
          <w:tab w:val="left" w:pos="-720"/>
        </w:tabs>
        <w:suppressAutoHyphens/>
        <w:jc w:val="both"/>
        <w:rPr>
          <w:spacing w:val="-3"/>
          <w:szCs w:val="24"/>
        </w:rPr>
      </w:pPr>
    </w:p>
    <w:p w:rsidR="0028225C" w:rsidRPr="007A2C81" w:rsidRDefault="00854EB7" w:rsidP="00854EB7">
      <w:pPr>
        <w:pStyle w:val="FootnoteText"/>
        <w:rPr>
          <w:sz w:val="24"/>
          <w:szCs w:val="24"/>
        </w:rPr>
      </w:pPr>
      <w:r w:rsidRPr="007A2C81">
        <w:rPr>
          <w:spacing w:val="-3"/>
          <w:sz w:val="24"/>
          <w:szCs w:val="24"/>
        </w:rPr>
        <w:tab/>
      </w:r>
      <w:r w:rsidR="00EA7A89" w:rsidRPr="007A2C81">
        <w:rPr>
          <w:spacing w:val="-3"/>
          <w:sz w:val="24"/>
          <w:szCs w:val="24"/>
        </w:rPr>
        <w:t xml:space="preserve">So philosophers of biology think </w:t>
      </w:r>
      <w:r w:rsidR="00597478" w:rsidRPr="007A2C81">
        <w:rPr>
          <w:spacing w:val="-3"/>
          <w:sz w:val="24"/>
          <w:szCs w:val="24"/>
        </w:rPr>
        <w:t>that</w:t>
      </w:r>
      <w:r w:rsidR="00EA7A89" w:rsidRPr="007A2C81">
        <w:rPr>
          <w:spacing w:val="-3"/>
          <w:sz w:val="24"/>
          <w:szCs w:val="24"/>
        </w:rPr>
        <w:t xml:space="preserve"> the nature or essence of a</w:t>
      </w:r>
      <w:r w:rsidR="00EB006E" w:rsidRPr="007A2C81">
        <w:rPr>
          <w:spacing w:val="-3"/>
          <w:sz w:val="24"/>
          <w:szCs w:val="24"/>
        </w:rPr>
        <w:t xml:space="preserve"> species like tigers</w:t>
      </w:r>
      <w:r w:rsidR="00597478" w:rsidRPr="007A2C81">
        <w:rPr>
          <w:spacing w:val="-3"/>
          <w:sz w:val="24"/>
          <w:szCs w:val="24"/>
        </w:rPr>
        <w:t xml:space="preserve"> is </w:t>
      </w:r>
      <w:r w:rsidR="00597478" w:rsidRPr="007A2C81">
        <w:rPr>
          <w:i/>
          <w:spacing w:val="-3"/>
          <w:sz w:val="24"/>
          <w:szCs w:val="24"/>
        </w:rPr>
        <w:t>not</w:t>
      </w:r>
      <w:r w:rsidR="00597478" w:rsidRPr="007A2C81">
        <w:rPr>
          <w:spacing w:val="-3"/>
          <w:sz w:val="24"/>
          <w:szCs w:val="24"/>
        </w:rPr>
        <w:t xml:space="preserve"> something intrinsic</w:t>
      </w:r>
      <w:r w:rsidR="001C13E8" w:rsidRPr="007A2C81">
        <w:rPr>
          <w:spacing w:val="-3"/>
          <w:sz w:val="24"/>
          <w:szCs w:val="24"/>
        </w:rPr>
        <w:t>.</w:t>
      </w:r>
      <w:r w:rsidR="00597478" w:rsidRPr="007A2C81">
        <w:rPr>
          <w:spacing w:val="-3"/>
          <w:sz w:val="24"/>
          <w:szCs w:val="24"/>
        </w:rPr>
        <w:t xml:space="preserve"> What then do they think it </w:t>
      </w:r>
      <w:r w:rsidR="00597478" w:rsidRPr="007A2C81">
        <w:rPr>
          <w:i/>
          <w:spacing w:val="-3"/>
          <w:sz w:val="24"/>
          <w:szCs w:val="24"/>
        </w:rPr>
        <w:t>is</w:t>
      </w:r>
      <w:r w:rsidR="00597478" w:rsidRPr="007A2C81">
        <w:rPr>
          <w:spacing w:val="-3"/>
          <w:sz w:val="24"/>
          <w:szCs w:val="24"/>
        </w:rPr>
        <w:t>?</w:t>
      </w:r>
      <w:r w:rsidR="00EB006E" w:rsidRPr="007A2C81">
        <w:rPr>
          <w:spacing w:val="-3"/>
          <w:sz w:val="24"/>
          <w:szCs w:val="24"/>
        </w:rPr>
        <w:t xml:space="preserve"> They think</w:t>
      </w:r>
      <w:r w:rsidR="00EA7A89" w:rsidRPr="007A2C81">
        <w:rPr>
          <w:spacing w:val="-3"/>
          <w:sz w:val="24"/>
          <w:szCs w:val="24"/>
        </w:rPr>
        <w:t xml:space="preserve"> that</w:t>
      </w:r>
      <w:r w:rsidRPr="007A2C81">
        <w:rPr>
          <w:spacing w:val="-3"/>
          <w:sz w:val="24"/>
          <w:szCs w:val="24"/>
        </w:rPr>
        <w:t xml:space="preserve"> the essence is relational: for an organism to be a member of a certain species, it must have a certain </w:t>
      </w:r>
      <w:r w:rsidRPr="007A2C81">
        <w:rPr>
          <w:i/>
          <w:spacing w:val="-3"/>
          <w:sz w:val="24"/>
          <w:szCs w:val="24"/>
        </w:rPr>
        <w:t>history</w:t>
      </w:r>
      <w:r w:rsidRPr="007A2C81">
        <w:rPr>
          <w:spacing w:val="-3"/>
          <w:sz w:val="24"/>
          <w:szCs w:val="24"/>
        </w:rPr>
        <w:t>. As Kim Sterelny and Paul Griffiths put it</w:t>
      </w:r>
      <w:r w:rsidR="00EB006E" w:rsidRPr="007A2C81">
        <w:rPr>
          <w:spacing w:val="-3"/>
          <w:sz w:val="24"/>
          <w:szCs w:val="24"/>
        </w:rPr>
        <w:t xml:space="preserve"> in their textbook</w:t>
      </w:r>
      <w:r w:rsidRPr="007A2C81">
        <w:rPr>
          <w:spacing w:val="-3"/>
          <w:sz w:val="24"/>
          <w:szCs w:val="24"/>
        </w:rPr>
        <w:t>,</w:t>
      </w:r>
      <w:r w:rsidR="00EB006E" w:rsidRPr="007A2C81">
        <w:rPr>
          <w:spacing w:val="-3"/>
          <w:sz w:val="24"/>
          <w:szCs w:val="24"/>
        </w:rPr>
        <w:t xml:space="preserve"> </w:t>
      </w:r>
      <w:r w:rsidR="00EB006E" w:rsidRPr="007A2C81">
        <w:rPr>
          <w:i/>
          <w:spacing w:val="-3"/>
          <w:sz w:val="24"/>
          <w:szCs w:val="24"/>
        </w:rPr>
        <w:t>Sex and Death</w:t>
      </w:r>
      <w:r w:rsidR="00EB006E" w:rsidRPr="007A2C81">
        <w:rPr>
          <w:spacing w:val="-3"/>
          <w:sz w:val="24"/>
          <w:szCs w:val="24"/>
        </w:rPr>
        <w:t>,</w:t>
      </w:r>
      <w:r w:rsidRPr="007A2C81">
        <w:rPr>
          <w:sz w:val="24"/>
          <w:szCs w:val="24"/>
        </w:rPr>
        <w:t xml:space="preserve"> there is “close to a consensus in thinking that species are identified by their histories” (1999</w:t>
      </w:r>
      <w:r w:rsidR="0072757C">
        <w:rPr>
          <w:sz w:val="24"/>
          <w:szCs w:val="24"/>
        </w:rPr>
        <w:t>:</w:t>
      </w:r>
      <w:r w:rsidRPr="007A2C81">
        <w:rPr>
          <w:sz w:val="24"/>
          <w:szCs w:val="24"/>
        </w:rPr>
        <w:t xml:space="preserve"> 8).</w:t>
      </w:r>
    </w:p>
    <w:p w:rsidR="00337783" w:rsidRPr="007A2C81" w:rsidRDefault="00337783" w:rsidP="00854EB7">
      <w:pPr>
        <w:pStyle w:val="FootnoteText"/>
        <w:rPr>
          <w:sz w:val="24"/>
          <w:szCs w:val="24"/>
        </w:rPr>
      </w:pPr>
    </w:p>
    <w:p w:rsidR="00337783" w:rsidRPr="007A2C81" w:rsidRDefault="00337783" w:rsidP="00337783">
      <w:pPr>
        <w:pStyle w:val="FootnoteText"/>
        <w:rPr>
          <w:sz w:val="24"/>
          <w:szCs w:val="24"/>
        </w:rPr>
      </w:pPr>
      <w:r w:rsidRPr="007A2C81">
        <w:rPr>
          <w:sz w:val="24"/>
          <w:szCs w:val="24"/>
        </w:rPr>
        <w:tab/>
        <w:t xml:space="preserve">Now it may be that Kripke would agree </w:t>
      </w:r>
      <w:r w:rsidR="00CF3A12" w:rsidRPr="007A2C81">
        <w:rPr>
          <w:sz w:val="24"/>
          <w:szCs w:val="24"/>
        </w:rPr>
        <w:t>to there being</w:t>
      </w:r>
      <w:r w:rsidRPr="007A2C81">
        <w:rPr>
          <w:sz w:val="24"/>
          <w:szCs w:val="24"/>
        </w:rPr>
        <w:t xml:space="preserve"> an historical </w:t>
      </w:r>
      <w:r w:rsidRPr="007A2C81">
        <w:rPr>
          <w:i/>
          <w:sz w:val="24"/>
          <w:szCs w:val="24"/>
        </w:rPr>
        <w:t>component</w:t>
      </w:r>
      <w:r w:rsidRPr="007A2C81">
        <w:rPr>
          <w:sz w:val="24"/>
          <w:szCs w:val="24"/>
        </w:rPr>
        <w:t xml:space="preserve"> to </w:t>
      </w:r>
      <w:r w:rsidR="00EB006E" w:rsidRPr="007A2C81">
        <w:rPr>
          <w:sz w:val="24"/>
          <w:szCs w:val="24"/>
        </w:rPr>
        <w:t>the e</w:t>
      </w:r>
      <w:r w:rsidR="006651C3" w:rsidRPr="007A2C81">
        <w:rPr>
          <w:sz w:val="24"/>
          <w:szCs w:val="24"/>
        </w:rPr>
        <w:t>ssence of a species as well as a</w:t>
      </w:r>
      <w:r w:rsidR="00EB006E" w:rsidRPr="007A2C81">
        <w:rPr>
          <w:sz w:val="24"/>
          <w:szCs w:val="24"/>
        </w:rPr>
        <w:t>n intrinsic one. F</w:t>
      </w:r>
      <w:r w:rsidRPr="007A2C81">
        <w:rPr>
          <w:sz w:val="24"/>
          <w:szCs w:val="24"/>
        </w:rPr>
        <w:t>or</w:t>
      </w:r>
      <w:r w:rsidR="006651C3" w:rsidRPr="007A2C81">
        <w:rPr>
          <w:sz w:val="24"/>
          <w:szCs w:val="24"/>
        </w:rPr>
        <w:t>,</w:t>
      </w:r>
      <w:r w:rsidRPr="007A2C81">
        <w:rPr>
          <w:sz w:val="24"/>
          <w:szCs w:val="24"/>
        </w:rPr>
        <w:t xml:space="preserve"> consider this passage:</w:t>
      </w:r>
    </w:p>
    <w:p w:rsidR="00337783" w:rsidRPr="007A2C81" w:rsidRDefault="00337783" w:rsidP="00337783">
      <w:pPr>
        <w:pStyle w:val="FootnoteText"/>
        <w:rPr>
          <w:sz w:val="24"/>
          <w:szCs w:val="24"/>
        </w:rPr>
      </w:pPr>
      <w:r w:rsidRPr="007A2C81">
        <w:rPr>
          <w:sz w:val="24"/>
          <w:szCs w:val="24"/>
        </w:rPr>
        <w:t xml:space="preserve"> </w:t>
      </w:r>
    </w:p>
    <w:p w:rsidR="00337783" w:rsidRPr="007A2C81" w:rsidRDefault="00337783" w:rsidP="00337783">
      <w:pPr>
        <w:pStyle w:val="FootnoteText"/>
        <w:ind w:left="720"/>
        <w:rPr>
          <w:sz w:val="24"/>
          <w:szCs w:val="24"/>
        </w:rPr>
      </w:pPr>
      <w:r w:rsidRPr="007A2C81">
        <w:rPr>
          <w:sz w:val="24"/>
          <w:szCs w:val="24"/>
        </w:rPr>
        <w:lastRenderedPageBreak/>
        <w:t xml:space="preserve">Past experience has shown that usually things like </w:t>
      </w:r>
      <w:r w:rsidR="00AC6123" w:rsidRPr="007A2C81">
        <w:rPr>
          <w:sz w:val="24"/>
          <w:szCs w:val="24"/>
        </w:rPr>
        <w:t>[tigers]</w:t>
      </w:r>
      <w:r w:rsidRPr="007A2C81">
        <w:rPr>
          <w:sz w:val="24"/>
          <w:szCs w:val="24"/>
        </w:rPr>
        <w:t>, living together, looking alike, mating together, do form a kind. If there are two kinds of tigers that have something to do with each other but not as much as we thought, then maybe they form a larger biological family. If they have absolutely nothing to do with each other, then there are really two kinds of tiger. This all depends on the history and on what we actually find out. (121)</w:t>
      </w:r>
    </w:p>
    <w:p w:rsidR="00EA7A89" w:rsidRPr="007A2C81" w:rsidRDefault="00EA7A89" w:rsidP="008C0119">
      <w:pPr>
        <w:pStyle w:val="FootnoteText"/>
        <w:ind w:left="720" w:hanging="720"/>
        <w:rPr>
          <w:sz w:val="24"/>
          <w:szCs w:val="24"/>
        </w:rPr>
      </w:pPr>
    </w:p>
    <w:p w:rsidR="003A2DC4" w:rsidRPr="007A2C81" w:rsidRDefault="006651C3" w:rsidP="008A57C1">
      <w:pPr>
        <w:pStyle w:val="FootnoteText"/>
        <w:rPr>
          <w:sz w:val="24"/>
          <w:szCs w:val="24"/>
        </w:rPr>
      </w:pPr>
      <w:r w:rsidRPr="007A2C81">
        <w:rPr>
          <w:sz w:val="24"/>
          <w:szCs w:val="24"/>
        </w:rPr>
        <w:t xml:space="preserve">Still, </w:t>
      </w:r>
      <w:proofErr w:type="spellStart"/>
      <w:r w:rsidRPr="007A2C81">
        <w:rPr>
          <w:sz w:val="24"/>
          <w:szCs w:val="24"/>
        </w:rPr>
        <w:t>Kripke</w:t>
      </w:r>
      <w:r w:rsidR="000F44B9">
        <w:rPr>
          <w:sz w:val="24"/>
          <w:szCs w:val="24"/>
        </w:rPr>
        <w:t>’s</w:t>
      </w:r>
      <w:proofErr w:type="spellEnd"/>
      <w:r w:rsidRPr="007A2C81">
        <w:rPr>
          <w:sz w:val="24"/>
          <w:szCs w:val="24"/>
        </w:rPr>
        <w:t xml:space="preserve"> claim t</w:t>
      </w:r>
      <w:r w:rsidR="003A2DC4" w:rsidRPr="007A2C81">
        <w:rPr>
          <w:sz w:val="24"/>
          <w:szCs w:val="24"/>
        </w:rPr>
        <w:t>hat that</w:t>
      </w:r>
      <w:r w:rsidR="005B2758" w:rsidRPr="007A2C81">
        <w:rPr>
          <w:sz w:val="24"/>
          <w:szCs w:val="24"/>
        </w:rPr>
        <w:t xml:space="preserve"> there is an intrinsic internal-</w:t>
      </w:r>
      <w:r w:rsidR="003A2DC4" w:rsidRPr="007A2C81">
        <w:rPr>
          <w:sz w:val="24"/>
          <w:szCs w:val="24"/>
        </w:rPr>
        <w:t>structural</w:t>
      </w:r>
      <w:r w:rsidR="00343C1F" w:rsidRPr="007A2C81">
        <w:rPr>
          <w:sz w:val="24"/>
          <w:szCs w:val="24"/>
        </w:rPr>
        <w:t xml:space="preserve"> component</w:t>
      </w:r>
      <w:r w:rsidR="003A2DC4" w:rsidRPr="007A2C81">
        <w:rPr>
          <w:sz w:val="24"/>
          <w:szCs w:val="24"/>
        </w:rPr>
        <w:t xml:space="preserve"> to the essence is clearly inconsistent with the consensus.</w:t>
      </w:r>
    </w:p>
    <w:p w:rsidR="003A2DC4" w:rsidRPr="007A2C81" w:rsidRDefault="003A2DC4" w:rsidP="003A2DC4">
      <w:pPr>
        <w:pStyle w:val="FootnoteText"/>
        <w:rPr>
          <w:sz w:val="24"/>
          <w:szCs w:val="24"/>
        </w:rPr>
      </w:pPr>
    </w:p>
    <w:p w:rsidR="00EA7A89" w:rsidRPr="007A2C81" w:rsidRDefault="003A2DC4" w:rsidP="008A57C1">
      <w:pPr>
        <w:pStyle w:val="FootnoteText"/>
        <w:rPr>
          <w:sz w:val="24"/>
          <w:szCs w:val="24"/>
        </w:rPr>
      </w:pPr>
      <w:r w:rsidRPr="007A2C81">
        <w:rPr>
          <w:sz w:val="24"/>
          <w:szCs w:val="24"/>
        </w:rPr>
        <w:tab/>
        <w:t xml:space="preserve">Philosophers of biology think that </w:t>
      </w:r>
      <w:proofErr w:type="spellStart"/>
      <w:r w:rsidRPr="007A2C81">
        <w:rPr>
          <w:sz w:val="24"/>
          <w:szCs w:val="24"/>
        </w:rPr>
        <w:t>Kripke</w:t>
      </w:r>
      <w:r w:rsidR="00295CE0" w:rsidRPr="007A2C81">
        <w:rPr>
          <w:sz w:val="24"/>
          <w:szCs w:val="24"/>
        </w:rPr>
        <w:t>’</w:t>
      </w:r>
      <w:r w:rsidRPr="007A2C81">
        <w:rPr>
          <w:sz w:val="24"/>
          <w:szCs w:val="24"/>
        </w:rPr>
        <w:t>s</w:t>
      </w:r>
      <w:proofErr w:type="spellEnd"/>
      <w:r w:rsidRPr="007A2C81">
        <w:rPr>
          <w:sz w:val="24"/>
          <w:szCs w:val="24"/>
        </w:rPr>
        <w:t xml:space="preserve"> intrinsic essentialism</w:t>
      </w:r>
      <w:r w:rsidR="00693C37" w:rsidRPr="007A2C81">
        <w:rPr>
          <w:sz w:val="24"/>
          <w:szCs w:val="24"/>
        </w:rPr>
        <w:t>,</w:t>
      </w:r>
      <w:r w:rsidRPr="007A2C81">
        <w:rPr>
          <w:sz w:val="24"/>
          <w:szCs w:val="24"/>
        </w:rPr>
        <w:t xml:space="preserve"> based on “armchair” intuitions</w:t>
      </w:r>
      <w:r w:rsidR="00911076" w:rsidRPr="007A2C81">
        <w:rPr>
          <w:sz w:val="24"/>
          <w:szCs w:val="24"/>
        </w:rPr>
        <w:t xml:space="preserve"> that reflect </w:t>
      </w:r>
      <w:r w:rsidRPr="007A2C81">
        <w:rPr>
          <w:sz w:val="24"/>
          <w:szCs w:val="24"/>
        </w:rPr>
        <w:t>ignorance of</w:t>
      </w:r>
      <w:r w:rsidR="00911076" w:rsidRPr="007A2C81">
        <w:rPr>
          <w:sz w:val="24"/>
          <w:szCs w:val="24"/>
        </w:rPr>
        <w:t xml:space="preserve"> the </w:t>
      </w:r>
      <w:r w:rsidRPr="007A2C81">
        <w:rPr>
          <w:sz w:val="24"/>
          <w:szCs w:val="24"/>
        </w:rPr>
        <w:t>biological facts</w:t>
      </w:r>
      <w:r w:rsidR="00693C37" w:rsidRPr="007A2C81">
        <w:rPr>
          <w:sz w:val="24"/>
          <w:szCs w:val="24"/>
        </w:rPr>
        <w:t>,</w:t>
      </w:r>
      <w:r w:rsidRPr="007A2C81">
        <w:rPr>
          <w:sz w:val="24"/>
          <w:szCs w:val="24"/>
        </w:rPr>
        <w:t xml:space="preserve"> </w:t>
      </w:r>
      <w:r w:rsidR="00597478" w:rsidRPr="007A2C81">
        <w:rPr>
          <w:sz w:val="24"/>
          <w:szCs w:val="24"/>
        </w:rPr>
        <w:t>are</w:t>
      </w:r>
      <w:r w:rsidRPr="007A2C81">
        <w:rPr>
          <w:sz w:val="24"/>
          <w:szCs w:val="24"/>
        </w:rPr>
        <w:t xml:space="preserve"> simply </w:t>
      </w:r>
      <w:r w:rsidR="00CF3A12" w:rsidRPr="007A2C81">
        <w:rPr>
          <w:sz w:val="24"/>
          <w:szCs w:val="24"/>
        </w:rPr>
        <w:t>wrong</w:t>
      </w:r>
      <w:r w:rsidRPr="007A2C81">
        <w:rPr>
          <w:sz w:val="24"/>
          <w:szCs w:val="24"/>
        </w:rPr>
        <w:t xml:space="preserve">. </w:t>
      </w:r>
      <w:r w:rsidR="00911076" w:rsidRPr="007A2C81">
        <w:rPr>
          <w:sz w:val="24"/>
          <w:szCs w:val="24"/>
        </w:rPr>
        <w:t>In contrast, I have argued, in effect,</w:t>
      </w:r>
      <w:r w:rsidRPr="007A2C81">
        <w:rPr>
          <w:sz w:val="24"/>
          <w:szCs w:val="24"/>
        </w:rPr>
        <w:t xml:space="preserve"> that </w:t>
      </w:r>
      <w:proofErr w:type="spellStart"/>
      <w:r w:rsidRPr="007A2C81">
        <w:rPr>
          <w:sz w:val="24"/>
          <w:szCs w:val="24"/>
        </w:rPr>
        <w:t>Kripke</w:t>
      </w:r>
      <w:r w:rsidR="00295CE0" w:rsidRPr="007A2C81">
        <w:rPr>
          <w:sz w:val="24"/>
          <w:szCs w:val="24"/>
        </w:rPr>
        <w:t>’</w:t>
      </w:r>
      <w:r w:rsidRPr="007A2C81">
        <w:rPr>
          <w:sz w:val="24"/>
          <w:szCs w:val="24"/>
        </w:rPr>
        <w:t>s</w:t>
      </w:r>
      <w:proofErr w:type="spellEnd"/>
      <w:r w:rsidRPr="007A2C81">
        <w:rPr>
          <w:sz w:val="24"/>
          <w:szCs w:val="24"/>
        </w:rPr>
        <w:t xml:space="preserve"> intuitions are right and supported by the biological facts.</w:t>
      </w:r>
      <w:r w:rsidR="00911076" w:rsidRPr="007A2C81">
        <w:rPr>
          <w:sz w:val="24"/>
          <w:szCs w:val="24"/>
        </w:rPr>
        <w:t xml:space="preserve"> The initial argument was in</w:t>
      </w:r>
      <w:r w:rsidR="00337783" w:rsidRPr="007A2C81">
        <w:rPr>
          <w:sz w:val="24"/>
          <w:szCs w:val="24"/>
        </w:rPr>
        <w:t xml:space="preserve"> “Resurrecting </w:t>
      </w:r>
      <w:r w:rsidR="00AC6123" w:rsidRPr="007A2C81">
        <w:rPr>
          <w:sz w:val="24"/>
          <w:szCs w:val="24"/>
        </w:rPr>
        <w:t>Biological Essentialism” (2008)</w:t>
      </w:r>
      <w:r w:rsidR="007F1CA4" w:rsidRPr="007A2C81">
        <w:rPr>
          <w:sz w:val="24"/>
          <w:szCs w:val="24"/>
        </w:rPr>
        <w:t>; I argued that</w:t>
      </w:r>
      <w:r w:rsidR="00AC6123" w:rsidRPr="007A2C81">
        <w:rPr>
          <w:sz w:val="24"/>
          <w:szCs w:val="24"/>
        </w:rPr>
        <w:t xml:space="preserve"> species </w:t>
      </w:r>
      <w:r w:rsidR="001C13E8" w:rsidRPr="007A2C81">
        <w:rPr>
          <w:sz w:val="24"/>
          <w:szCs w:val="24"/>
        </w:rPr>
        <w:t>(and other taxa) “have essences</w:t>
      </w:r>
      <w:r w:rsidR="00EB006E" w:rsidRPr="007A2C81">
        <w:rPr>
          <w:sz w:val="24"/>
          <w:szCs w:val="24"/>
        </w:rPr>
        <w:t xml:space="preserve"> that </w:t>
      </w:r>
      <w:r w:rsidR="001C13E8" w:rsidRPr="007A2C81">
        <w:rPr>
          <w:sz w:val="24"/>
          <w:szCs w:val="24"/>
        </w:rPr>
        <w:t>are</w:t>
      </w:r>
      <w:r w:rsidR="00EB006E" w:rsidRPr="007A2C81">
        <w:rPr>
          <w:sz w:val="24"/>
          <w:szCs w:val="24"/>
        </w:rPr>
        <w:t>, at least partly,</w:t>
      </w:r>
      <w:r w:rsidR="001C13E8" w:rsidRPr="007A2C81">
        <w:rPr>
          <w:sz w:val="24"/>
          <w:szCs w:val="24"/>
        </w:rPr>
        <w:t xml:space="preserve"> intrinsic</w:t>
      </w:r>
      <w:r w:rsidR="00EB006E" w:rsidRPr="007A2C81">
        <w:rPr>
          <w:sz w:val="24"/>
          <w:szCs w:val="24"/>
        </w:rPr>
        <w:t xml:space="preserve"> underlying</w:t>
      </w:r>
      <w:r w:rsidR="00C215E0" w:rsidRPr="007A2C81">
        <w:rPr>
          <w:sz w:val="24"/>
          <w:szCs w:val="24"/>
        </w:rPr>
        <w:t xml:space="preserve"> properties” (p. 346) These properties “are probably largely, though not entirely, genetic” (p. 347)</w:t>
      </w:r>
      <w:r w:rsidR="0086273D" w:rsidRPr="007A2C81">
        <w:rPr>
          <w:sz w:val="24"/>
          <w:szCs w:val="24"/>
        </w:rPr>
        <w:t>.</w:t>
      </w:r>
      <w:r w:rsidR="00911076" w:rsidRPr="007A2C81">
        <w:rPr>
          <w:sz w:val="24"/>
          <w:szCs w:val="24"/>
        </w:rPr>
        <w:t xml:space="preserve"> Not surprisingly, </w:t>
      </w:r>
      <w:r w:rsidR="001C45E6" w:rsidRPr="007A2C81">
        <w:rPr>
          <w:sz w:val="24"/>
          <w:szCs w:val="24"/>
        </w:rPr>
        <w:t xml:space="preserve">this received criticism from </w:t>
      </w:r>
      <w:r w:rsidR="00911076" w:rsidRPr="007A2C81">
        <w:rPr>
          <w:sz w:val="24"/>
          <w:szCs w:val="24"/>
        </w:rPr>
        <w:t xml:space="preserve">the consensus </w:t>
      </w:r>
      <w:r w:rsidR="0086273D" w:rsidRPr="007A2C81">
        <w:rPr>
          <w:sz w:val="24"/>
          <w:szCs w:val="24"/>
        </w:rPr>
        <w:t>(</w:t>
      </w:r>
      <w:r w:rsidR="00831F22" w:rsidRPr="007A2C81">
        <w:rPr>
          <w:sz w:val="24"/>
          <w:szCs w:val="24"/>
        </w:rPr>
        <w:t xml:space="preserve">Barker 2010, Ereshefsky 2010, </w:t>
      </w:r>
      <w:proofErr w:type="spellStart"/>
      <w:r w:rsidR="00831F22" w:rsidRPr="007A2C81">
        <w:rPr>
          <w:sz w:val="24"/>
          <w:szCs w:val="24"/>
        </w:rPr>
        <w:t>Lewens</w:t>
      </w:r>
      <w:proofErr w:type="spellEnd"/>
      <w:r w:rsidR="00831F22" w:rsidRPr="007A2C81">
        <w:rPr>
          <w:sz w:val="24"/>
          <w:szCs w:val="24"/>
        </w:rPr>
        <w:t xml:space="preserve"> 2012, Leslie 2013, Slater 2013</w:t>
      </w:r>
      <w:r w:rsidR="00C215E0" w:rsidRPr="007A2C81">
        <w:rPr>
          <w:sz w:val="24"/>
          <w:szCs w:val="24"/>
        </w:rPr>
        <w:t>)</w:t>
      </w:r>
      <w:r w:rsidR="005B2758" w:rsidRPr="007A2C81">
        <w:rPr>
          <w:sz w:val="24"/>
          <w:szCs w:val="24"/>
        </w:rPr>
        <w:t>. I have responded (</w:t>
      </w:r>
      <w:r w:rsidR="0086273D" w:rsidRPr="007A2C81">
        <w:rPr>
          <w:sz w:val="24"/>
          <w:szCs w:val="24"/>
        </w:rPr>
        <w:t>forthcoming)</w:t>
      </w:r>
      <w:r w:rsidR="001C45E6" w:rsidRPr="007A2C81">
        <w:rPr>
          <w:sz w:val="24"/>
          <w:szCs w:val="24"/>
        </w:rPr>
        <w:t>.</w:t>
      </w:r>
    </w:p>
    <w:p w:rsidR="001C45E6" w:rsidRPr="007A2C81" w:rsidRDefault="001C45E6" w:rsidP="008A57C1">
      <w:pPr>
        <w:pStyle w:val="FootnoteText"/>
        <w:rPr>
          <w:sz w:val="24"/>
          <w:szCs w:val="24"/>
        </w:rPr>
      </w:pPr>
    </w:p>
    <w:p w:rsidR="007F1CA4" w:rsidRPr="007A2C81" w:rsidRDefault="001C45E6" w:rsidP="007F1CA4">
      <w:pPr>
        <w:pStyle w:val="FootnoteText"/>
        <w:rPr>
          <w:sz w:val="24"/>
          <w:szCs w:val="24"/>
        </w:rPr>
      </w:pPr>
      <w:r w:rsidRPr="007A2C81">
        <w:rPr>
          <w:sz w:val="24"/>
          <w:szCs w:val="24"/>
        </w:rPr>
        <w:tab/>
      </w:r>
      <w:r w:rsidR="00C215E0" w:rsidRPr="007A2C81">
        <w:rPr>
          <w:sz w:val="24"/>
          <w:szCs w:val="24"/>
        </w:rPr>
        <w:t>My</w:t>
      </w:r>
      <w:r w:rsidRPr="007A2C81">
        <w:rPr>
          <w:sz w:val="24"/>
          <w:szCs w:val="24"/>
        </w:rPr>
        <w:t xml:space="preserve"> line of argument is briefly this.</w:t>
      </w:r>
      <w:r w:rsidR="00DE4CD2" w:rsidRPr="007A2C81">
        <w:rPr>
          <w:sz w:val="24"/>
          <w:szCs w:val="24"/>
        </w:rPr>
        <w:t xml:space="preserve"> </w:t>
      </w:r>
      <w:r w:rsidR="00DC1316">
        <w:rPr>
          <w:sz w:val="24"/>
          <w:szCs w:val="24"/>
        </w:rPr>
        <w:t xml:space="preserve">(1) </w:t>
      </w:r>
      <w:r w:rsidR="00DE4CD2" w:rsidRPr="007A2C81">
        <w:rPr>
          <w:sz w:val="24"/>
          <w:szCs w:val="24"/>
        </w:rPr>
        <w:t>Why do African rhinos have two horns and Indian rhinos</w:t>
      </w:r>
      <w:r w:rsidR="006A29FC" w:rsidRPr="007A2C81">
        <w:rPr>
          <w:sz w:val="24"/>
          <w:szCs w:val="24"/>
        </w:rPr>
        <w:t>,</w:t>
      </w:r>
      <w:r w:rsidR="007F1CA4" w:rsidRPr="007A2C81">
        <w:rPr>
          <w:sz w:val="24"/>
          <w:szCs w:val="24"/>
        </w:rPr>
        <w:t xml:space="preserve"> one</w:t>
      </w:r>
      <w:r w:rsidR="0028222B" w:rsidRPr="007A2C81">
        <w:rPr>
          <w:sz w:val="24"/>
          <w:szCs w:val="24"/>
        </w:rPr>
        <w:t xml:space="preserve">? </w:t>
      </w:r>
      <w:r w:rsidR="00DE58B4" w:rsidRPr="007A2C81">
        <w:rPr>
          <w:sz w:val="24"/>
          <w:szCs w:val="24"/>
        </w:rPr>
        <w:t xml:space="preserve">The question seeks </w:t>
      </w:r>
      <w:r w:rsidR="00354CC7" w:rsidRPr="007A2C81">
        <w:rPr>
          <w:sz w:val="24"/>
          <w:szCs w:val="24"/>
        </w:rPr>
        <w:t xml:space="preserve">a “structural” </w:t>
      </w:r>
      <w:r w:rsidR="00DE58B4" w:rsidRPr="007A2C81">
        <w:rPr>
          <w:sz w:val="24"/>
          <w:szCs w:val="24"/>
        </w:rPr>
        <w:t>explanation</w:t>
      </w:r>
      <w:r w:rsidR="00DD0467" w:rsidRPr="007A2C81">
        <w:rPr>
          <w:sz w:val="24"/>
          <w:szCs w:val="24"/>
        </w:rPr>
        <w:t xml:space="preserve"> (Kitcher 1984)</w:t>
      </w:r>
      <w:r w:rsidR="00DE58B4" w:rsidRPr="007A2C81">
        <w:rPr>
          <w:sz w:val="24"/>
          <w:szCs w:val="24"/>
        </w:rPr>
        <w:t xml:space="preserve"> of the developmental mechanisms in these rhinos. And the</w:t>
      </w:r>
      <w:r w:rsidR="0028222B" w:rsidRPr="007A2C81">
        <w:rPr>
          <w:sz w:val="24"/>
          <w:szCs w:val="24"/>
        </w:rPr>
        <w:t xml:space="preserve"> answer rests ultimately on the underlying intrinsic natures or essences of these two species of rhinos. </w:t>
      </w:r>
      <w:r w:rsidR="00DB772D" w:rsidRPr="007A2C81">
        <w:rPr>
          <w:sz w:val="24"/>
          <w:szCs w:val="24"/>
        </w:rPr>
        <w:t xml:space="preserve">These natures </w:t>
      </w:r>
      <w:r w:rsidR="00DB772D" w:rsidRPr="007A2C81">
        <w:rPr>
          <w:i/>
          <w:sz w:val="24"/>
          <w:szCs w:val="24"/>
        </w:rPr>
        <w:t>cause</w:t>
      </w:r>
      <w:r w:rsidR="00DB772D" w:rsidRPr="007A2C81">
        <w:rPr>
          <w:sz w:val="24"/>
          <w:szCs w:val="24"/>
        </w:rPr>
        <w:t xml:space="preserve"> these species of rhino to have</w:t>
      </w:r>
      <w:r w:rsidR="007F1CA4" w:rsidRPr="007A2C81">
        <w:rPr>
          <w:sz w:val="24"/>
          <w:szCs w:val="24"/>
        </w:rPr>
        <w:t xml:space="preserve"> their respective number of horns</w:t>
      </w:r>
      <w:r w:rsidR="00DB772D" w:rsidRPr="007A2C81">
        <w:rPr>
          <w:sz w:val="24"/>
          <w:szCs w:val="24"/>
        </w:rPr>
        <w:t xml:space="preserve">. </w:t>
      </w:r>
      <w:r w:rsidR="00DC1316">
        <w:rPr>
          <w:sz w:val="24"/>
          <w:szCs w:val="24"/>
        </w:rPr>
        <w:t xml:space="preserve">(2) </w:t>
      </w:r>
      <w:r w:rsidR="00DB772D" w:rsidRPr="007A2C81">
        <w:rPr>
          <w:sz w:val="24"/>
          <w:szCs w:val="24"/>
        </w:rPr>
        <w:t>Why, in this group of</w:t>
      </w:r>
      <w:r w:rsidR="00F8090D" w:rsidRPr="007A2C81">
        <w:rPr>
          <w:sz w:val="24"/>
          <w:szCs w:val="24"/>
        </w:rPr>
        <w:t xml:space="preserve"> animals, does </w:t>
      </w:r>
      <w:r w:rsidR="00F8090D" w:rsidRPr="007A2C81">
        <w:rPr>
          <w:i/>
          <w:sz w:val="24"/>
          <w:szCs w:val="24"/>
        </w:rPr>
        <w:t>that</w:t>
      </w:r>
      <w:r w:rsidR="00DB772D" w:rsidRPr="007A2C81">
        <w:rPr>
          <w:i/>
          <w:sz w:val="24"/>
          <w:szCs w:val="24"/>
        </w:rPr>
        <w:t xml:space="preserve"> one</w:t>
      </w:r>
      <w:r w:rsidR="00DB772D" w:rsidRPr="007A2C81">
        <w:rPr>
          <w:sz w:val="24"/>
          <w:szCs w:val="24"/>
        </w:rPr>
        <w:t xml:space="preserve"> </w:t>
      </w:r>
      <w:proofErr w:type="gramStart"/>
      <w:r w:rsidR="00DB772D" w:rsidRPr="007A2C81">
        <w:rPr>
          <w:sz w:val="24"/>
          <w:szCs w:val="24"/>
        </w:rPr>
        <w:t>have</w:t>
      </w:r>
      <w:proofErr w:type="gramEnd"/>
      <w:r w:rsidR="00DB772D" w:rsidRPr="007A2C81">
        <w:rPr>
          <w:sz w:val="24"/>
          <w:szCs w:val="24"/>
        </w:rPr>
        <w:t xml:space="preserve"> stripes? Because it is a zebra and it is the nature of zebras to have stripes: some underlying intrinsic property of </w:t>
      </w:r>
      <w:r w:rsidR="006A29FC" w:rsidRPr="007A2C81">
        <w:rPr>
          <w:sz w:val="24"/>
          <w:szCs w:val="24"/>
        </w:rPr>
        <w:t>that animal made it a zebra and caused</w:t>
      </w:r>
      <w:r w:rsidR="00DB772D" w:rsidRPr="007A2C81">
        <w:rPr>
          <w:sz w:val="24"/>
          <w:szCs w:val="24"/>
        </w:rPr>
        <w:t xml:space="preserve"> </w:t>
      </w:r>
      <w:r w:rsidR="00F8090D" w:rsidRPr="007A2C81">
        <w:rPr>
          <w:sz w:val="24"/>
          <w:szCs w:val="24"/>
        </w:rPr>
        <w:t>the</w:t>
      </w:r>
      <w:r w:rsidR="00DB772D" w:rsidRPr="007A2C81">
        <w:rPr>
          <w:sz w:val="24"/>
          <w:szCs w:val="24"/>
        </w:rPr>
        <w:t xml:space="preserve"> stripes.</w:t>
      </w:r>
      <w:r w:rsidR="007F1CA4" w:rsidRPr="007A2C81">
        <w:rPr>
          <w:sz w:val="24"/>
          <w:szCs w:val="24"/>
        </w:rPr>
        <w:t xml:space="preserve"> So, the essence or nature of a species (or other taxon) simply </w:t>
      </w:r>
      <w:r w:rsidR="007F1CA4" w:rsidRPr="007A2C81">
        <w:rPr>
          <w:i/>
          <w:sz w:val="24"/>
          <w:szCs w:val="24"/>
        </w:rPr>
        <w:t>is</w:t>
      </w:r>
      <w:r w:rsidR="007F1CA4" w:rsidRPr="007A2C81">
        <w:rPr>
          <w:sz w:val="24"/>
          <w:szCs w:val="24"/>
        </w:rPr>
        <w:t xml:space="preserve"> whatever underlying state causes members of that</w:t>
      </w:r>
      <w:r w:rsidR="00BE7FD0">
        <w:rPr>
          <w:sz w:val="24"/>
          <w:szCs w:val="24"/>
        </w:rPr>
        <w:t xml:space="preserve"> species</w:t>
      </w:r>
      <w:r w:rsidR="007F1CA4" w:rsidRPr="007A2C81">
        <w:rPr>
          <w:sz w:val="24"/>
          <w:szCs w:val="24"/>
        </w:rPr>
        <w:t xml:space="preserve">, in their environment, to have their phenotypic properties; the essence explains the place that those organisms have in the causal nexus just because they are members of the </w:t>
      </w:r>
      <w:r w:rsidR="00BE7FD0">
        <w:rPr>
          <w:sz w:val="24"/>
          <w:szCs w:val="24"/>
        </w:rPr>
        <w:t>species</w:t>
      </w:r>
      <w:r w:rsidR="00DC1316">
        <w:rPr>
          <w:sz w:val="24"/>
          <w:szCs w:val="24"/>
        </w:rPr>
        <w:t>; the essenc</w:t>
      </w:r>
      <w:r w:rsidR="00AB4035">
        <w:rPr>
          <w:sz w:val="24"/>
          <w:szCs w:val="24"/>
        </w:rPr>
        <w:t>e is “</w:t>
      </w:r>
      <w:proofErr w:type="spellStart"/>
      <w:r w:rsidR="00AB4035">
        <w:rPr>
          <w:sz w:val="24"/>
          <w:szCs w:val="24"/>
        </w:rPr>
        <w:t>superexplanatory</w:t>
      </w:r>
      <w:proofErr w:type="spellEnd"/>
      <w:r w:rsidR="00AB4035">
        <w:rPr>
          <w:sz w:val="24"/>
          <w:szCs w:val="24"/>
        </w:rPr>
        <w:t>”, in</w:t>
      </w:r>
      <w:r w:rsidR="00AB4035" w:rsidRPr="00BE7FD0">
        <w:rPr>
          <w:sz w:val="24"/>
          <w:szCs w:val="24"/>
        </w:rPr>
        <w:t xml:space="preserve"> Antonella </w:t>
      </w:r>
      <w:proofErr w:type="spellStart"/>
      <w:r w:rsidR="00AB4035" w:rsidRPr="00BE7FD0">
        <w:rPr>
          <w:sz w:val="24"/>
          <w:szCs w:val="24"/>
        </w:rPr>
        <w:t>Mallo</w:t>
      </w:r>
      <w:r w:rsidR="00AB4035">
        <w:rPr>
          <w:sz w:val="24"/>
          <w:szCs w:val="24"/>
        </w:rPr>
        <w:t>z</w:t>
      </w:r>
      <w:r w:rsidR="00AB4035" w:rsidRPr="00BE7FD0">
        <w:rPr>
          <w:sz w:val="24"/>
          <w:szCs w:val="24"/>
        </w:rPr>
        <w:t>zi’s</w:t>
      </w:r>
      <w:proofErr w:type="spellEnd"/>
      <w:r w:rsidR="00AB4035" w:rsidRPr="00BE7FD0">
        <w:rPr>
          <w:sz w:val="24"/>
          <w:szCs w:val="24"/>
        </w:rPr>
        <w:t xml:space="preserve"> (2018) neat terminology</w:t>
      </w:r>
      <w:r w:rsidR="007F1CA4" w:rsidRPr="007A2C81">
        <w:rPr>
          <w:sz w:val="24"/>
          <w:szCs w:val="24"/>
        </w:rPr>
        <w:t>.</w:t>
      </w:r>
      <w:r w:rsidR="00BE7FD0">
        <w:rPr>
          <w:rStyle w:val="FootnoteReference"/>
          <w:sz w:val="24"/>
          <w:szCs w:val="24"/>
        </w:rPr>
        <w:footnoteReference w:id="40"/>
      </w:r>
      <w:r w:rsidR="006A29FC" w:rsidRPr="007A2C81">
        <w:rPr>
          <w:sz w:val="24"/>
          <w:szCs w:val="24"/>
        </w:rPr>
        <w:t xml:space="preserve"> Elliott Sober rightly insists that the essence of a species must be “a causal mechanism that acts on each member of the species, making it the kind of thing that it is”; the essence must explain why the members “are the way they are” ([1980] 1992, p. 250). </w:t>
      </w:r>
      <w:r w:rsidR="00693C37" w:rsidRPr="007A2C81">
        <w:rPr>
          <w:sz w:val="24"/>
          <w:szCs w:val="24"/>
        </w:rPr>
        <w:t>In sum, the demands of biological explanation show that Kripke is right and the biological consensus wrong about intrinsic essentialism.</w:t>
      </w:r>
    </w:p>
    <w:p w:rsidR="002D1C57" w:rsidRPr="007A2C81" w:rsidRDefault="002D1C57" w:rsidP="007F1CA4">
      <w:pPr>
        <w:pStyle w:val="FootnoteText"/>
        <w:rPr>
          <w:sz w:val="24"/>
          <w:szCs w:val="24"/>
        </w:rPr>
      </w:pPr>
    </w:p>
    <w:p w:rsidR="006A29FC" w:rsidRDefault="002D1C57" w:rsidP="002D1C57">
      <w:pPr>
        <w:pStyle w:val="FootnoteText"/>
        <w:ind w:firstLine="720"/>
        <w:rPr>
          <w:sz w:val="24"/>
          <w:szCs w:val="24"/>
        </w:rPr>
      </w:pPr>
      <w:r w:rsidRPr="007A2C81">
        <w:rPr>
          <w:sz w:val="24"/>
          <w:szCs w:val="24"/>
        </w:rPr>
        <w:t>I later argued along</w:t>
      </w:r>
      <w:r w:rsidR="002146D1" w:rsidRPr="007A2C81">
        <w:rPr>
          <w:sz w:val="24"/>
          <w:szCs w:val="24"/>
        </w:rPr>
        <w:t xml:space="preserve"> analogous</w:t>
      </w:r>
      <w:r w:rsidRPr="007A2C81">
        <w:rPr>
          <w:sz w:val="24"/>
          <w:szCs w:val="24"/>
        </w:rPr>
        <w:t xml:space="preserve"> lines</w:t>
      </w:r>
      <w:r w:rsidR="006745D3" w:rsidRPr="007A2C81">
        <w:rPr>
          <w:sz w:val="24"/>
          <w:szCs w:val="24"/>
        </w:rPr>
        <w:t xml:space="preserve"> that the</w:t>
      </w:r>
      <w:r w:rsidR="00F8188E" w:rsidRPr="007A2C81">
        <w:rPr>
          <w:sz w:val="24"/>
          <w:szCs w:val="24"/>
        </w:rPr>
        <w:t xml:space="preserve">re is indeed </w:t>
      </w:r>
      <w:r w:rsidR="00F8188E" w:rsidRPr="00DC1316">
        <w:rPr>
          <w:i/>
          <w:sz w:val="24"/>
          <w:szCs w:val="24"/>
        </w:rPr>
        <w:t>also</w:t>
      </w:r>
      <w:r w:rsidR="00F8188E" w:rsidRPr="007A2C81">
        <w:rPr>
          <w:sz w:val="24"/>
          <w:szCs w:val="24"/>
        </w:rPr>
        <w:t xml:space="preserve"> a historical component to the</w:t>
      </w:r>
      <w:r w:rsidR="006745D3" w:rsidRPr="007A2C81">
        <w:rPr>
          <w:sz w:val="24"/>
          <w:szCs w:val="24"/>
        </w:rPr>
        <w:t xml:space="preserve"> essence of a </w:t>
      </w:r>
      <w:r w:rsidR="00CF5791">
        <w:rPr>
          <w:sz w:val="24"/>
          <w:szCs w:val="24"/>
        </w:rPr>
        <w:t>species</w:t>
      </w:r>
      <w:r w:rsidR="0011758D" w:rsidRPr="007A2C81">
        <w:rPr>
          <w:sz w:val="24"/>
          <w:szCs w:val="24"/>
        </w:rPr>
        <w:t>. B</w:t>
      </w:r>
      <w:r w:rsidR="00F8188E" w:rsidRPr="007A2C81">
        <w:rPr>
          <w:sz w:val="24"/>
          <w:szCs w:val="24"/>
        </w:rPr>
        <w:t>ut</w:t>
      </w:r>
      <w:r w:rsidR="0072757C">
        <w:rPr>
          <w:sz w:val="24"/>
          <w:szCs w:val="24"/>
        </w:rPr>
        <w:t xml:space="preserve"> what is that component?</w:t>
      </w:r>
      <w:r w:rsidR="00F8188E" w:rsidRPr="007A2C81">
        <w:rPr>
          <w:sz w:val="24"/>
          <w:szCs w:val="24"/>
        </w:rPr>
        <w:t xml:space="preserve"> </w:t>
      </w:r>
      <w:r w:rsidR="0072757C">
        <w:rPr>
          <w:sz w:val="24"/>
          <w:szCs w:val="24"/>
        </w:rPr>
        <w:t xml:space="preserve">I argue against answers suggested in the literature and for the view that the historical </w:t>
      </w:r>
      <w:r w:rsidR="00F8188E" w:rsidRPr="007A2C81">
        <w:rPr>
          <w:sz w:val="24"/>
          <w:szCs w:val="24"/>
        </w:rPr>
        <w:t xml:space="preserve">component </w:t>
      </w:r>
      <w:r w:rsidR="00F8188E" w:rsidRPr="0072757C">
        <w:rPr>
          <w:i/>
          <w:sz w:val="24"/>
          <w:szCs w:val="24"/>
        </w:rPr>
        <w:t>requires</w:t>
      </w:r>
      <w:r w:rsidR="00F8188E" w:rsidRPr="007A2C81">
        <w:rPr>
          <w:sz w:val="24"/>
          <w:szCs w:val="24"/>
        </w:rPr>
        <w:t xml:space="preserve"> </w:t>
      </w:r>
      <w:r w:rsidR="0011758D" w:rsidRPr="007A2C81">
        <w:rPr>
          <w:sz w:val="24"/>
          <w:szCs w:val="24"/>
        </w:rPr>
        <w:t>an intrinsic component</w:t>
      </w:r>
      <w:r w:rsidR="00A52447">
        <w:rPr>
          <w:sz w:val="24"/>
          <w:szCs w:val="24"/>
        </w:rPr>
        <w:t>.</w:t>
      </w:r>
      <w:r w:rsidR="00DC1316">
        <w:rPr>
          <w:sz w:val="24"/>
          <w:szCs w:val="24"/>
        </w:rPr>
        <w:t xml:space="preserve"> F</w:t>
      </w:r>
      <w:r w:rsidR="00DC1316" w:rsidRPr="00DC1316">
        <w:rPr>
          <w:sz w:val="24"/>
          <w:szCs w:val="24"/>
        </w:rPr>
        <w:t xml:space="preserve">or, the relevant history of a </w:t>
      </w:r>
      <w:r w:rsidR="00DC1316">
        <w:rPr>
          <w:sz w:val="24"/>
          <w:szCs w:val="24"/>
        </w:rPr>
        <w:t>species</w:t>
      </w:r>
      <w:r w:rsidR="00DC1316" w:rsidRPr="00DC1316">
        <w:rPr>
          <w:sz w:val="24"/>
          <w:szCs w:val="24"/>
        </w:rPr>
        <w:t xml:space="preserve"> is of organisms of </w:t>
      </w:r>
      <w:r w:rsidR="00DC1316" w:rsidRPr="00DC1316">
        <w:rPr>
          <w:i/>
          <w:sz w:val="24"/>
          <w:szCs w:val="24"/>
        </w:rPr>
        <w:t>a certain intrinsic</w:t>
      </w:r>
      <w:r w:rsidR="00DC1316" w:rsidRPr="00DC1316">
        <w:rPr>
          <w:sz w:val="24"/>
          <w:szCs w:val="24"/>
        </w:rPr>
        <w:t xml:space="preserve"> </w:t>
      </w:r>
      <w:r w:rsidR="00DC1316" w:rsidRPr="00DC1316">
        <w:rPr>
          <w:i/>
          <w:sz w:val="24"/>
          <w:szCs w:val="24"/>
        </w:rPr>
        <w:t>kind</w:t>
      </w:r>
      <w:r w:rsidR="00DC1316" w:rsidRPr="00DC1316">
        <w:rPr>
          <w:sz w:val="24"/>
          <w:szCs w:val="24"/>
        </w:rPr>
        <w:t xml:space="preserve"> evolving into organisms of </w:t>
      </w:r>
      <w:r w:rsidR="00DC1316" w:rsidRPr="00DC1316">
        <w:rPr>
          <w:i/>
          <w:sz w:val="24"/>
          <w:szCs w:val="24"/>
        </w:rPr>
        <w:t>a certain other</w:t>
      </w:r>
      <w:r w:rsidR="00DC1316" w:rsidRPr="00DC1316">
        <w:rPr>
          <w:sz w:val="24"/>
          <w:szCs w:val="24"/>
        </w:rPr>
        <w:t xml:space="preserve"> </w:t>
      </w:r>
      <w:r w:rsidR="00DC1316" w:rsidRPr="00DC1316">
        <w:rPr>
          <w:i/>
          <w:sz w:val="24"/>
          <w:szCs w:val="24"/>
        </w:rPr>
        <w:t>intrinsic</w:t>
      </w:r>
      <w:r w:rsidR="00DC1316" w:rsidRPr="00DC1316">
        <w:rPr>
          <w:sz w:val="24"/>
          <w:szCs w:val="24"/>
        </w:rPr>
        <w:t xml:space="preserve"> </w:t>
      </w:r>
      <w:r w:rsidR="00DC1316" w:rsidRPr="00DC1316">
        <w:rPr>
          <w:i/>
          <w:sz w:val="24"/>
          <w:szCs w:val="24"/>
        </w:rPr>
        <w:t>kind</w:t>
      </w:r>
      <w:r w:rsidR="00DC1316" w:rsidRPr="00DC1316">
        <w:rPr>
          <w:sz w:val="24"/>
          <w:szCs w:val="24"/>
        </w:rPr>
        <w:t xml:space="preserve">, until we reach the </w:t>
      </w:r>
      <w:r w:rsidR="00DC1316">
        <w:rPr>
          <w:sz w:val="24"/>
          <w:szCs w:val="24"/>
        </w:rPr>
        <w:t>species</w:t>
      </w:r>
      <w:r w:rsidR="00DC1316" w:rsidRPr="00DC1316">
        <w:rPr>
          <w:sz w:val="24"/>
          <w:szCs w:val="24"/>
        </w:rPr>
        <w:t xml:space="preserve"> in question.</w:t>
      </w:r>
      <w:r w:rsidR="00A52447">
        <w:rPr>
          <w:sz w:val="24"/>
          <w:szCs w:val="24"/>
        </w:rPr>
        <w:t xml:space="preserve"> So this</w:t>
      </w:r>
      <w:r w:rsidR="0011758D" w:rsidRPr="007A2C81">
        <w:rPr>
          <w:sz w:val="24"/>
          <w:szCs w:val="24"/>
        </w:rPr>
        <w:t xml:space="preserve"> adds to the case for intrinsic essentialism (2018a).</w:t>
      </w:r>
      <w:r w:rsidR="005E7D49">
        <w:rPr>
          <w:rStyle w:val="FootnoteReference"/>
          <w:sz w:val="24"/>
          <w:szCs w:val="24"/>
        </w:rPr>
        <w:footnoteReference w:id="41"/>
      </w:r>
      <w:r w:rsidR="006745D3" w:rsidRPr="007A2C81">
        <w:rPr>
          <w:sz w:val="24"/>
          <w:szCs w:val="24"/>
        </w:rPr>
        <w:t xml:space="preserve"> </w:t>
      </w:r>
      <w:r w:rsidR="00F8188E" w:rsidRPr="007A2C81">
        <w:rPr>
          <w:sz w:val="24"/>
          <w:szCs w:val="24"/>
        </w:rPr>
        <w:t>Perhaps Kripke would agree. This</w:t>
      </w:r>
      <w:r w:rsidR="0011758D" w:rsidRPr="007A2C81">
        <w:rPr>
          <w:sz w:val="24"/>
          <w:szCs w:val="24"/>
        </w:rPr>
        <w:t xml:space="preserve"> argument attends</w:t>
      </w:r>
      <w:r w:rsidR="008D30DD" w:rsidRPr="007A2C81">
        <w:rPr>
          <w:sz w:val="24"/>
          <w:szCs w:val="24"/>
        </w:rPr>
        <w:t xml:space="preserve"> to the demands of “historical”</w:t>
      </w:r>
      <w:r w:rsidR="006745D3" w:rsidRPr="007A2C81">
        <w:rPr>
          <w:sz w:val="24"/>
          <w:szCs w:val="24"/>
        </w:rPr>
        <w:t xml:space="preserve"> explanations</w:t>
      </w:r>
      <w:r w:rsidR="00DD0467" w:rsidRPr="007A2C81">
        <w:rPr>
          <w:sz w:val="24"/>
          <w:szCs w:val="24"/>
        </w:rPr>
        <w:t xml:space="preserve"> (Kitcher 1984)</w:t>
      </w:r>
      <w:r w:rsidR="006745D3" w:rsidRPr="007A2C81">
        <w:rPr>
          <w:sz w:val="24"/>
          <w:szCs w:val="24"/>
        </w:rPr>
        <w:t xml:space="preserve"> of how members of a </w:t>
      </w:r>
      <w:r w:rsidR="00CF5791">
        <w:rPr>
          <w:sz w:val="24"/>
          <w:szCs w:val="24"/>
        </w:rPr>
        <w:t>species</w:t>
      </w:r>
      <w:r w:rsidR="006745D3" w:rsidRPr="007A2C81">
        <w:rPr>
          <w:sz w:val="24"/>
          <w:szCs w:val="24"/>
        </w:rPr>
        <w:t xml:space="preserve"> came to have their developmental mechanism</w:t>
      </w:r>
      <w:r w:rsidR="00F8188E" w:rsidRPr="007A2C81">
        <w:rPr>
          <w:sz w:val="24"/>
          <w:szCs w:val="24"/>
        </w:rPr>
        <w:t>.</w:t>
      </w:r>
    </w:p>
    <w:p w:rsidR="00E165E7" w:rsidRPr="007A2C81" w:rsidRDefault="00E165E7" w:rsidP="007F1CA4">
      <w:pPr>
        <w:pStyle w:val="FootnoteText"/>
        <w:rPr>
          <w:sz w:val="24"/>
          <w:szCs w:val="24"/>
        </w:rPr>
      </w:pPr>
    </w:p>
    <w:p w:rsidR="002D7E29" w:rsidRPr="007A2C81" w:rsidRDefault="00E56825" w:rsidP="002D7E29">
      <w:pPr>
        <w:tabs>
          <w:tab w:val="left" w:pos="-720"/>
        </w:tabs>
        <w:suppressAutoHyphens/>
        <w:rPr>
          <w:b/>
          <w:szCs w:val="24"/>
        </w:rPr>
      </w:pPr>
      <w:r w:rsidRPr="007A2C81">
        <w:rPr>
          <w:b/>
          <w:szCs w:val="24"/>
        </w:rPr>
        <w:t>7</w:t>
      </w:r>
      <w:r w:rsidR="002D7E29" w:rsidRPr="007A2C81">
        <w:rPr>
          <w:b/>
          <w:szCs w:val="24"/>
        </w:rPr>
        <w:t>. Chemical Kind Essentialism</w:t>
      </w:r>
    </w:p>
    <w:p w:rsidR="00092844" w:rsidRDefault="00092844" w:rsidP="00811283">
      <w:pPr>
        <w:pStyle w:val="FootnoteText"/>
        <w:rPr>
          <w:sz w:val="24"/>
          <w:szCs w:val="24"/>
        </w:rPr>
      </w:pPr>
    </w:p>
    <w:p w:rsidR="00811283" w:rsidRPr="007A2C81" w:rsidRDefault="00811283" w:rsidP="00811283">
      <w:pPr>
        <w:pStyle w:val="FootnoteText"/>
        <w:rPr>
          <w:sz w:val="24"/>
          <w:szCs w:val="24"/>
        </w:rPr>
      </w:pPr>
      <w:r w:rsidRPr="007A2C81">
        <w:rPr>
          <w:sz w:val="24"/>
          <w:szCs w:val="24"/>
        </w:rPr>
        <w:t>Paul Needham has a</w:t>
      </w:r>
      <w:r w:rsidR="00805EAF" w:rsidRPr="007A2C81">
        <w:rPr>
          <w:sz w:val="24"/>
          <w:szCs w:val="24"/>
        </w:rPr>
        <w:t xml:space="preserve"> long-running campaign against </w:t>
      </w:r>
      <w:proofErr w:type="spellStart"/>
      <w:r w:rsidR="00805EAF" w:rsidRPr="007A2C81">
        <w:rPr>
          <w:sz w:val="24"/>
          <w:szCs w:val="24"/>
        </w:rPr>
        <w:t>Kripke</w:t>
      </w:r>
      <w:r w:rsidR="00295CE0" w:rsidRPr="007A2C81">
        <w:rPr>
          <w:sz w:val="24"/>
          <w:szCs w:val="24"/>
        </w:rPr>
        <w:t>’</w:t>
      </w:r>
      <w:r w:rsidR="00805EAF" w:rsidRPr="007A2C81">
        <w:rPr>
          <w:sz w:val="24"/>
          <w:szCs w:val="24"/>
        </w:rPr>
        <w:t>s</w:t>
      </w:r>
      <w:proofErr w:type="spellEnd"/>
      <w:r w:rsidR="00805EAF" w:rsidRPr="007A2C81">
        <w:rPr>
          <w:sz w:val="24"/>
          <w:szCs w:val="24"/>
        </w:rPr>
        <w:t xml:space="preserve"> and Putnam</w:t>
      </w:r>
      <w:r w:rsidR="00295CE0" w:rsidRPr="007A2C81">
        <w:rPr>
          <w:sz w:val="24"/>
          <w:szCs w:val="24"/>
        </w:rPr>
        <w:t>’</w:t>
      </w:r>
      <w:r w:rsidR="00805EAF" w:rsidRPr="007A2C81">
        <w:rPr>
          <w:sz w:val="24"/>
          <w:szCs w:val="24"/>
        </w:rPr>
        <w:t xml:space="preserve">s </w:t>
      </w:r>
      <w:r w:rsidR="00C557F2" w:rsidRPr="007A2C81">
        <w:rPr>
          <w:sz w:val="24"/>
          <w:szCs w:val="24"/>
        </w:rPr>
        <w:t>“</w:t>
      </w:r>
      <w:proofErr w:type="spellStart"/>
      <w:r w:rsidR="00C557F2" w:rsidRPr="007A2C81">
        <w:rPr>
          <w:sz w:val="24"/>
          <w:szCs w:val="24"/>
        </w:rPr>
        <w:t>micro</w:t>
      </w:r>
      <w:r w:rsidR="00805EAF" w:rsidRPr="007A2C81">
        <w:rPr>
          <w:sz w:val="24"/>
          <w:szCs w:val="24"/>
        </w:rPr>
        <w:t>essentialism</w:t>
      </w:r>
      <w:proofErr w:type="spellEnd"/>
      <w:r w:rsidR="00C557F2" w:rsidRPr="007A2C81">
        <w:rPr>
          <w:sz w:val="24"/>
          <w:szCs w:val="24"/>
        </w:rPr>
        <w:t>”</w:t>
      </w:r>
      <w:r w:rsidR="00805EAF" w:rsidRPr="007A2C81">
        <w:rPr>
          <w:sz w:val="24"/>
          <w:szCs w:val="24"/>
        </w:rPr>
        <w:t xml:space="preserve"> about water; see Needham (2011) and the earlier papers cited. </w:t>
      </w:r>
      <w:r w:rsidR="00571194" w:rsidRPr="007A2C81">
        <w:rPr>
          <w:sz w:val="24"/>
          <w:szCs w:val="24"/>
        </w:rPr>
        <w:t>This campaign i</w:t>
      </w:r>
      <w:r w:rsidR="001D6F08" w:rsidRPr="007A2C81">
        <w:rPr>
          <w:sz w:val="24"/>
          <w:szCs w:val="24"/>
        </w:rPr>
        <w:t>s</w:t>
      </w:r>
      <w:r w:rsidR="00805EAF" w:rsidRPr="007A2C81">
        <w:rPr>
          <w:sz w:val="24"/>
          <w:szCs w:val="24"/>
        </w:rPr>
        <w:t xml:space="preserve"> based on a detailed and illuminating presentation of the scientific fact</w:t>
      </w:r>
      <w:r w:rsidR="00571194" w:rsidRPr="007A2C81">
        <w:rPr>
          <w:sz w:val="24"/>
          <w:szCs w:val="24"/>
        </w:rPr>
        <w:t>s about water. Nonetheless, I don</w:t>
      </w:r>
      <w:r w:rsidR="00295CE0" w:rsidRPr="007A2C81">
        <w:rPr>
          <w:sz w:val="24"/>
          <w:szCs w:val="24"/>
        </w:rPr>
        <w:t>’</w:t>
      </w:r>
      <w:r w:rsidR="00571194" w:rsidRPr="007A2C81">
        <w:rPr>
          <w:sz w:val="24"/>
          <w:szCs w:val="24"/>
        </w:rPr>
        <w:t>t think it succeeds.</w:t>
      </w:r>
      <w:r w:rsidR="00BF69E5" w:rsidRPr="007A2C81">
        <w:rPr>
          <w:sz w:val="24"/>
          <w:szCs w:val="24"/>
        </w:rPr>
        <w:t xml:space="preserve"> I shall consider its bearing on Kripke</w:t>
      </w:r>
      <w:r w:rsidR="004B4BC4" w:rsidRPr="007A2C81">
        <w:rPr>
          <w:sz w:val="24"/>
          <w:szCs w:val="24"/>
        </w:rPr>
        <w:t xml:space="preserve"> only</w:t>
      </w:r>
      <w:r w:rsidR="00BF69E5" w:rsidRPr="007A2C81">
        <w:rPr>
          <w:sz w:val="24"/>
          <w:szCs w:val="24"/>
        </w:rPr>
        <w:t>.</w:t>
      </w:r>
    </w:p>
    <w:p w:rsidR="00B148C9" w:rsidRPr="007A2C81" w:rsidRDefault="00B148C9" w:rsidP="00C557F2">
      <w:pPr>
        <w:rPr>
          <w:iCs/>
          <w:szCs w:val="24"/>
        </w:rPr>
      </w:pPr>
    </w:p>
    <w:p w:rsidR="00642D9A" w:rsidRPr="007A2C81" w:rsidRDefault="00B148C9" w:rsidP="00C557F2">
      <w:pPr>
        <w:rPr>
          <w:iCs/>
          <w:szCs w:val="24"/>
        </w:rPr>
      </w:pPr>
      <w:r w:rsidRPr="007A2C81">
        <w:rPr>
          <w:iCs/>
          <w:szCs w:val="24"/>
        </w:rPr>
        <w:tab/>
      </w:r>
      <w:r w:rsidR="00BF69E5" w:rsidRPr="007A2C81">
        <w:rPr>
          <w:iCs/>
          <w:szCs w:val="24"/>
        </w:rPr>
        <w:t xml:space="preserve">(1) </w:t>
      </w:r>
      <w:r w:rsidRPr="007A2C81">
        <w:rPr>
          <w:iCs/>
          <w:szCs w:val="24"/>
        </w:rPr>
        <w:t>Needham is critical of the talk of “H2O” as the essence</w:t>
      </w:r>
      <w:r w:rsidR="004B4BC4" w:rsidRPr="007A2C81">
        <w:rPr>
          <w:iCs/>
          <w:szCs w:val="24"/>
        </w:rPr>
        <w:t xml:space="preserve"> of water</w:t>
      </w:r>
      <w:r w:rsidR="00642D9A" w:rsidRPr="007A2C81">
        <w:rPr>
          <w:iCs/>
          <w:szCs w:val="24"/>
        </w:rPr>
        <w:t>:</w:t>
      </w:r>
    </w:p>
    <w:p w:rsidR="00642D9A" w:rsidRPr="007A2C81" w:rsidRDefault="00642D9A" w:rsidP="00C557F2">
      <w:pPr>
        <w:rPr>
          <w:iCs/>
          <w:szCs w:val="24"/>
        </w:rPr>
      </w:pPr>
    </w:p>
    <w:p w:rsidR="00642D9A" w:rsidRPr="007A2C81" w:rsidRDefault="00642D9A" w:rsidP="00642D9A">
      <w:pPr>
        <w:ind w:left="720"/>
        <w:rPr>
          <w:iCs/>
          <w:szCs w:val="24"/>
        </w:rPr>
      </w:pPr>
      <w:r w:rsidRPr="007A2C81">
        <w:rPr>
          <w:iCs/>
          <w:szCs w:val="24"/>
        </w:rPr>
        <w:t xml:space="preserve">The expression “H2O” provides a </w:t>
      </w:r>
      <w:proofErr w:type="spellStart"/>
      <w:r w:rsidRPr="007A2C81">
        <w:rPr>
          <w:iCs/>
          <w:szCs w:val="24"/>
        </w:rPr>
        <w:t>characterisation</w:t>
      </w:r>
      <w:proofErr w:type="spellEnd"/>
      <w:r w:rsidRPr="007A2C81">
        <w:rPr>
          <w:iCs/>
          <w:szCs w:val="24"/>
        </w:rPr>
        <w:t xml:space="preserve"> of water without resorting to microstructure, and anyone wanting to give a </w:t>
      </w:r>
      <w:proofErr w:type="spellStart"/>
      <w:r w:rsidRPr="007A2C81">
        <w:rPr>
          <w:iCs/>
          <w:szCs w:val="24"/>
        </w:rPr>
        <w:t>microdescription</w:t>
      </w:r>
      <w:proofErr w:type="spellEnd"/>
      <w:r w:rsidRPr="007A2C81">
        <w:rPr>
          <w:iCs/>
          <w:szCs w:val="24"/>
        </w:rPr>
        <w:t xml:space="preserve"> of water who simply offers “H2O” fails miserably. (2011: 9)</w:t>
      </w:r>
    </w:p>
    <w:p w:rsidR="00642D9A" w:rsidRPr="007A2C81" w:rsidRDefault="00642D9A" w:rsidP="00C557F2">
      <w:pPr>
        <w:rPr>
          <w:iCs/>
          <w:szCs w:val="24"/>
        </w:rPr>
      </w:pPr>
    </w:p>
    <w:p w:rsidR="00642D9A" w:rsidRPr="007A2C81" w:rsidRDefault="00B148C9" w:rsidP="00C557F2">
      <w:pPr>
        <w:rPr>
          <w:szCs w:val="24"/>
        </w:rPr>
      </w:pPr>
      <w:r w:rsidRPr="007A2C81">
        <w:rPr>
          <w:iCs/>
          <w:szCs w:val="24"/>
        </w:rPr>
        <w:t>But it</w:t>
      </w:r>
      <w:r w:rsidRPr="007A2C81">
        <w:rPr>
          <w:szCs w:val="24"/>
        </w:rPr>
        <w:t xml:space="preserve"> is central to </w:t>
      </w:r>
      <w:proofErr w:type="spellStart"/>
      <w:r w:rsidR="008A776E" w:rsidRPr="007A2C81">
        <w:rPr>
          <w:szCs w:val="24"/>
        </w:rPr>
        <w:t>Kripke</w:t>
      </w:r>
      <w:r w:rsidR="00295CE0" w:rsidRPr="007A2C81">
        <w:rPr>
          <w:szCs w:val="24"/>
        </w:rPr>
        <w:t>’</w:t>
      </w:r>
      <w:r w:rsidR="008A776E" w:rsidRPr="007A2C81">
        <w:rPr>
          <w:szCs w:val="24"/>
        </w:rPr>
        <w:t>s</w:t>
      </w:r>
      <w:proofErr w:type="spellEnd"/>
      <w:r w:rsidR="008A776E" w:rsidRPr="007A2C81">
        <w:rPr>
          <w:szCs w:val="24"/>
        </w:rPr>
        <w:t xml:space="preserve"> position</w:t>
      </w:r>
      <w:r w:rsidRPr="007A2C81">
        <w:rPr>
          <w:szCs w:val="24"/>
        </w:rPr>
        <w:t xml:space="preserve"> that we should look to </w:t>
      </w:r>
      <w:r w:rsidRPr="007A2C81">
        <w:rPr>
          <w:i/>
          <w:szCs w:val="24"/>
        </w:rPr>
        <w:t>empirical science</w:t>
      </w:r>
      <w:r w:rsidRPr="007A2C81">
        <w:rPr>
          <w:szCs w:val="24"/>
        </w:rPr>
        <w:t xml:space="preserve">, not to philosophers like </w:t>
      </w:r>
      <w:r w:rsidR="008A776E" w:rsidRPr="007A2C81">
        <w:rPr>
          <w:szCs w:val="24"/>
        </w:rPr>
        <w:t>himself</w:t>
      </w:r>
      <w:r w:rsidRPr="007A2C81">
        <w:rPr>
          <w:szCs w:val="24"/>
        </w:rPr>
        <w:t xml:space="preserve"> to </w:t>
      </w:r>
      <w:r w:rsidRPr="007A2C81">
        <w:rPr>
          <w:i/>
          <w:szCs w:val="24"/>
        </w:rPr>
        <w:t>discover</w:t>
      </w:r>
      <w:r w:rsidR="00642D9A" w:rsidRPr="007A2C81">
        <w:rPr>
          <w:szCs w:val="24"/>
        </w:rPr>
        <w:t xml:space="preserve"> </w:t>
      </w:r>
      <w:r w:rsidRPr="007A2C81">
        <w:rPr>
          <w:szCs w:val="24"/>
        </w:rPr>
        <w:t>essence</w:t>
      </w:r>
      <w:r w:rsidR="00642D9A" w:rsidRPr="007A2C81">
        <w:rPr>
          <w:szCs w:val="24"/>
        </w:rPr>
        <w:t>s</w:t>
      </w:r>
      <w:r w:rsidR="008A776E" w:rsidRPr="007A2C81">
        <w:rPr>
          <w:szCs w:val="24"/>
        </w:rPr>
        <w:t>/natures:</w:t>
      </w:r>
    </w:p>
    <w:p w:rsidR="00642D9A" w:rsidRPr="007A2C81" w:rsidRDefault="00642D9A" w:rsidP="00C557F2">
      <w:pPr>
        <w:rPr>
          <w:szCs w:val="24"/>
        </w:rPr>
      </w:pPr>
      <w:r w:rsidRPr="007A2C81">
        <w:rPr>
          <w:szCs w:val="24"/>
        </w:rPr>
        <w:t xml:space="preserve"> </w:t>
      </w:r>
    </w:p>
    <w:p w:rsidR="00642D9A" w:rsidRPr="007A2C81" w:rsidRDefault="00642D9A" w:rsidP="00642D9A">
      <w:pPr>
        <w:pStyle w:val="FootnoteText"/>
        <w:ind w:left="720"/>
        <w:rPr>
          <w:sz w:val="24"/>
          <w:szCs w:val="24"/>
        </w:rPr>
      </w:pPr>
      <w:r w:rsidRPr="007A2C81">
        <w:rPr>
          <w:sz w:val="24"/>
          <w:szCs w:val="24"/>
        </w:rPr>
        <w:t xml:space="preserve">the scientists have investigated the nature of gold and have found that it is part of the very nature of this substance, so to speak, that it </w:t>
      </w:r>
      <w:proofErr w:type="gramStart"/>
      <w:r w:rsidRPr="007A2C81">
        <w:rPr>
          <w:sz w:val="24"/>
          <w:szCs w:val="24"/>
        </w:rPr>
        <w:t>have</w:t>
      </w:r>
      <w:proofErr w:type="gramEnd"/>
      <w:r w:rsidRPr="007A2C81">
        <w:rPr>
          <w:sz w:val="24"/>
          <w:szCs w:val="24"/>
        </w:rPr>
        <w:t xml:space="preserve"> the atomic number 79 (124)</w:t>
      </w:r>
    </w:p>
    <w:p w:rsidR="00642D9A" w:rsidRPr="007A2C81" w:rsidRDefault="00642D9A" w:rsidP="00642D9A">
      <w:pPr>
        <w:pStyle w:val="FootnoteText"/>
        <w:ind w:left="720"/>
        <w:rPr>
          <w:sz w:val="24"/>
          <w:szCs w:val="24"/>
        </w:rPr>
      </w:pPr>
      <w:r w:rsidRPr="007A2C81">
        <w:rPr>
          <w:sz w:val="24"/>
          <w:szCs w:val="24"/>
        </w:rPr>
        <w:t>scientific discoveries about what this stuff is</w:t>
      </w:r>
      <w:proofErr w:type="gramStart"/>
      <w:r w:rsidRPr="007A2C81">
        <w:rPr>
          <w:sz w:val="24"/>
          <w:szCs w:val="24"/>
        </w:rPr>
        <w:t>….present</w:t>
      </w:r>
      <w:proofErr w:type="gramEnd"/>
      <w:r w:rsidRPr="007A2C81">
        <w:rPr>
          <w:sz w:val="24"/>
          <w:szCs w:val="24"/>
        </w:rPr>
        <w:t xml:space="preserve"> scientific theory is such that it is part of the nature of gold as we have it to be an element with atomic number 79. (125)</w:t>
      </w:r>
    </w:p>
    <w:p w:rsidR="00642D9A" w:rsidRPr="007A2C81" w:rsidRDefault="00642D9A" w:rsidP="00642D9A">
      <w:pPr>
        <w:tabs>
          <w:tab w:val="left" w:pos="-720"/>
        </w:tabs>
        <w:suppressAutoHyphens/>
        <w:spacing w:line="240" w:lineRule="atLeast"/>
        <w:ind w:left="720"/>
        <w:jc w:val="both"/>
        <w:rPr>
          <w:rFonts w:cs="Times New Roman"/>
          <w:spacing w:val="-3"/>
          <w:szCs w:val="24"/>
        </w:rPr>
      </w:pPr>
      <w:r w:rsidRPr="007A2C81">
        <w:rPr>
          <w:rFonts w:cs="Times New Roman"/>
          <w:spacing w:val="-3"/>
          <w:szCs w:val="24"/>
        </w:rPr>
        <w:t>Whether science can discover empirically that certain properties are necessary of cows, or of tigers, is another question, which I answer affirmatively. (128)</w:t>
      </w:r>
    </w:p>
    <w:p w:rsidR="00642D9A" w:rsidRPr="007A2C81" w:rsidRDefault="00642D9A" w:rsidP="00642D9A">
      <w:pPr>
        <w:tabs>
          <w:tab w:val="left" w:pos="-720"/>
        </w:tabs>
        <w:suppressAutoHyphens/>
        <w:spacing w:line="240" w:lineRule="atLeast"/>
        <w:ind w:left="720"/>
        <w:jc w:val="both"/>
        <w:rPr>
          <w:szCs w:val="24"/>
        </w:rPr>
      </w:pPr>
      <w:r w:rsidRPr="007A2C81">
        <w:rPr>
          <w:rFonts w:cs="Times New Roman"/>
          <w:spacing w:val="-3"/>
          <w:szCs w:val="24"/>
        </w:rPr>
        <w:t>It certainly represents a discovery that water is H2O (128)</w:t>
      </w:r>
    </w:p>
    <w:p w:rsidR="00642D9A" w:rsidRPr="007A2C81" w:rsidRDefault="00642D9A" w:rsidP="00C557F2">
      <w:pPr>
        <w:rPr>
          <w:szCs w:val="24"/>
        </w:rPr>
      </w:pPr>
    </w:p>
    <w:p w:rsidR="005752B5" w:rsidRPr="007A2C81" w:rsidRDefault="005E4292" w:rsidP="005752B5">
      <w:pPr>
        <w:rPr>
          <w:szCs w:val="24"/>
        </w:rPr>
      </w:pPr>
      <w:r w:rsidRPr="007A2C81">
        <w:rPr>
          <w:szCs w:val="24"/>
        </w:rPr>
        <w:t xml:space="preserve">So, </w:t>
      </w:r>
      <w:proofErr w:type="spellStart"/>
      <w:r w:rsidR="00BF69E5" w:rsidRPr="007A2C81">
        <w:rPr>
          <w:szCs w:val="24"/>
        </w:rPr>
        <w:t>Kripke</w:t>
      </w:r>
      <w:r w:rsidR="00295CE0" w:rsidRPr="007A2C81">
        <w:rPr>
          <w:szCs w:val="24"/>
        </w:rPr>
        <w:t>’</w:t>
      </w:r>
      <w:r w:rsidR="008A776E" w:rsidRPr="007A2C81">
        <w:rPr>
          <w:szCs w:val="24"/>
        </w:rPr>
        <w:t>s</w:t>
      </w:r>
      <w:proofErr w:type="spellEnd"/>
      <w:r w:rsidR="00905D4E" w:rsidRPr="007A2C81">
        <w:rPr>
          <w:szCs w:val="24"/>
        </w:rPr>
        <w:t xml:space="preserve"> talk</w:t>
      </w:r>
      <w:r w:rsidR="00B148C9" w:rsidRPr="007A2C81">
        <w:rPr>
          <w:szCs w:val="24"/>
        </w:rPr>
        <w:t xml:space="preserve"> of the </w:t>
      </w:r>
      <w:r w:rsidR="00BF69E5" w:rsidRPr="007A2C81">
        <w:rPr>
          <w:szCs w:val="24"/>
        </w:rPr>
        <w:t xml:space="preserve">nature </w:t>
      </w:r>
      <w:r w:rsidR="00B148C9" w:rsidRPr="007A2C81">
        <w:rPr>
          <w:szCs w:val="24"/>
        </w:rPr>
        <w:t>of water being “H2O”,</w:t>
      </w:r>
      <w:r w:rsidR="00001BD6" w:rsidRPr="00001BD6">
        <w:rPr>
          <w:szCs w:val="24"/>
        </w:rPr>
        <w:t xml:space="preserve"> </w:t>
      </w:r>
      <w:r w:rsidR="007A6BEC">
        <w:rPr>
          <w:szCs w:val="24"/>
        </w:rPr>
        <w:t xml:space="preserve">talk </w:t>
      </w:r>
      <w:r w:rsidR="00001BD6">
        <w:rPr>
          <w:szCs w:val="24"/>
        </w:rPr>
        <w:t>which is quite</w:t>
      </w:r>
      <w:r w:rsidR="00001BD6" w:rsidRPr="007A2C81">
        <w:rPr>
          <w:szCs w:val="24"/>
        </w:rPr>
        <w:t xml:space="preserve"> standard</w:t>
      </w:r>
      <w:r w:rsidR="00001BD6">
        <w:rPr>
          <w:szCs w:val="24"/>
        </w:rPr>
        <w:t xml:space="preserve"> in philosophy</w:t>
      </w:r>
      <w:r w:rsidR="007A6BEC">
        <w:rPr>
          <w:szCs w:val="24"/>
        </w:rPr>
        <w:t xml:space="preserve"> anyway</w:t>
      </w:r>
      <w:r w:rsidR="00001BD6" w:rsidRPr="007A2C81">
        <w:rPr>
          <w:szCs w:val="24"/>
        </w:rPr>
        <w:t>,</w:t>
      </w:r>
      <w:r w:rsidR="00001BD6" w:rsidRPr="007A2C81">
        <w:rPr>
          <w:rStyle w:val="FootnoteReference"/>
          <w:szCs w:val="24"/>
        </w:rPr>
        <w:footnoteReference w:id="42"/>
      </w:r>
      <w:r w:rsidR="00B148C9" w:rsidRPr="007A2C81">
        <w:rPr>
          <w:szCs w:val="24"/>
        </w:rPr>
        <w:t xml:space="preserve"> should be seen as nothing more than a philosopher</w:t>
      </w:r>
      <w:r w:rsidR="00295CE0" w:rsidRPr="007A2C81">
        <w:rPr>
          <w:szCs w:val="24"/>
        </w:rPr>
        <w:t>’</w:t>
      </w:r>
      <w:r w:rsidR="00B148C9" w:rsidRPr="007A2C81">
        <w:rPr>
          <w:szCs w:val="24"/>
        </w:rPr>
        <w:t>s hand wave toward the scientific facts.</w:t>
      </w:r>
      <w:r w:rsidR="005752B5" w:rsidRPr="007A2C81">
        <w:rPr>
          <w:szCs w:val="24"/>
        </w:rPr>
        <w:t xml:space="preserve"> Needham</w:t>
      </w:r>
      <w:r w:rsidR="00295CE0" w:rsidRPr="007A2C81">
        <w:rPr>
          <w:szCs w:val="24"/>
        </w:rPr>
        <w:t>’</w:t>
      </w:r>
      <w:r w:rsidR="005752B5" w:rsidRPr="007A2C81">
        <w:rPr>
          <w:szCs w:val="24"/>
        </w:rPr>
        <w:t>s discussion is a helpful guide to what those facts may be.</w:t>
      </w:r>
      <w:r w:rsidR="00001BD6">
        <w:rPr>
          <w:szCs w:val="24"/>
        </w:rPr>
        <w:t xml:space="preserve"> He is persuasive that the H2O-talk is inadequate, but a recent paper by another philosopher of chemistry, Robin Hendry (forthcoming), suggests that it may not be.</w:t>
      </w:r>
    </w:p>
    <w:p w:rsidR="005E4292" w:rsidRPr="007A2C81" w:rsidRDefault="005E4292" w:rsidP="00001BD6">
      <w:pPr>
        <w:rPr>
          <w:iCs/>
          <w:szCs w:val="24"/>
        </w:rPr>
      </w:pPr>
    </w:p>
    <w:p w:rsidR="0033352E" w:rsidRPr="007A2C81" w:rsidRDefault="0033352E" w:rsidP="005E4292">
      <w:pPr>
        <w:ind w:firstLine="720"/>
        <w:rPr>
          <w:szCs w:val="24"/>
        </w:rPr>
      </w:pPr>
      <w:r w:rsidRPr="007A2C81">
        <w:rPr>
          <w:szCs w:val="24"/>
        </w:rPr>
        <w:t xml:space="preserve">Needham does not convince me that Kripke is wrong to think that the essence is </w:t>
      </w:r>
      <w:r w:rsidRPr="007A2C81">
        <w:rPr>
          <w:i/>
          <w:szCs w:val="24"/>
        </w:rPr>
        <w:t>entirely micro</w:t>
      </w:r>
      <w:r w:rsidRPr="007A2C81">
        <w:rPr>
          <w:szCs w:val="24"/>
        </w:rPr>
        <w:t xml:space="preserve"> but even if Kripke is wrong and the essence is partly, even entirely, macro, that alone would not be much of a blow to </w:t>
      </w:r>
      <w:proofErr w:type="spellStart"/>
      <w:r w:rsidRPr="007A2C81">
        <w:rPr>
          <w:szCs w:val="24"/>
        </w:rPr>
        <w:t>Kripke</w:t>
      </w:r>
      <w:r w:rsidR="00295CE0" w:rsidRPr="007A2C81">
        <w:rPr>
          <w:szCs w:val="24"/>
        </w:rPr>
        <w:t>’</w:t>
      </w:r>
      <w:r w:rsidRPr="007A2C81">
        <w:rPr>
          <w:szCs w:val="24"/>
        </w:rPr>
        <w:t>s</w:t>
      </w:r>
      <w:proofErr w:type="spellEnd"/>
      <w:r w:rsidRPr="007A2C81">
        <w:rPr>
          <w:szCs w:val="24"/>
        </w:rPr>
        <w:t xml:space="preserve"> metaphysics. </w:t>
      </w:r>
      <w:r w:rsidR="004B4BC4" w:rsidRPr="007A2C81">
        <w:rPr>
          <w:szCs w:val="24"/>
        </w:rPr>
        <w:t>Kripke</w:t>
      </w:r>
      <w:r w:rsidRPr="007A2C81">
        <w:rPr>
          <w:szCs w:val="24"/>
        </w:rPr>
        <w:t xml:space="preserve"> surely already accepts that many scientific kinds have macro essences; </w:t>
      </w:r>
      <w:r w:rsidRPr="007A2C81">
        <w:rPr>
          <w:i/>
          <w:szCs w:val="24"/>
        </w:rPr>
        <w:t>predator</w:t>
      </w:r>
      <w:r w:rsidRPr="007A2C81">
        <w:rPr>
          <w:szCs w:val="24"/>
        </w:rPr>
        <w:t xml:space="preserve"> is a likely example. What </w:t>
      </w:r>
      <w:r w:rsidRPr="007A2C81">
        <w:rPr>
          <w:i/>
          <w:szCs w:val="24"/>
        </w:rPr>
        <w:t>would</w:t>
      </w:r>
      <w:r w:rsidRPr="007A2C81">
        <w:rPr>
          <w:szCs w:val="24"/>
        </w:rPr>
        <w:t xml:space="preserve"> be a blow would be the discovery that the essence of water is constituted entirely by the macro properties </w:t>
      </w:r>
      <w:r w:rsidRPr="007A2C81">
        <w:rPr>
          <w:i/>
          <w:szCs w:val="24"/>
        </w:rPr>
        <w:t xml:space="preserve">picked out by descriptions associated with the word </w:t>
      </w:r>
      <w:r w:rsidR="00295CE0" w:rsidRPr="007A2C81">
        <w:rPr>
          <w:i/>
          <w:szCs w:val="24"/>
        </w:rPr>
        <w:t>‘</w:t>
      </w:r>
      <w:r w:rsidRPr="007A2C81">
        <w:rPr>
          <w:i/>
          <w:szCs w:val="24"/>
        </w:rPr>
        <w:t>water</w:t>
      </w:r>
      <w:r w:rsidR="00295CE0" w:rsidRPr="007A2C81">
        <w:rPr>
          <w:i/>
          <w:szCs w:val="24"/>
        </w:rPr>
        <w:t>’</w:t>
      </w:r>
      <w:r w:rsidRPr="007A2C81">
        <w:rPr>
          <w:i/>
          <w:szCs w:val="24"/>
        </w:rPr>
        <w:t xml:space="preserve"> by its ordinary users</w:t>
      </w:r>
      <w:r w:rsidRPr="007A2C81">
        <w:rPr>
          <w:szCs w:val="24"/>
        </w:rPr>
        <w:t>.</w:t>
      </w:r>
      <w:r w:rsidR="005E4292" w:rsidRPr="007A2C81">
        <w:rPr>
          <w:szCs w:val="24"/>
        </w:rPr>
        <w:t xml:space="preserve"> For, </w:t>
      </w:r>
      <w:r w:rsidR="005E4292" w:rsidRPr="007A2C81">
        <w:rPr>
          <w:i/>
          <w:szCs w:val="24"/>
        </w:rPr>
        <w:t>that</w:t>
      </w:r>
      <w:r w:rsidR="005E4292" w:rsidRPr="007A2C81">
        <w:rPr>
          <w:szCs w:val="24"/>
        </w:rPr>
        <w:t xml:space="preserve"> is the consequence of the description theory of reference that Kripke and Putnam are mainly challenging: in the clever words of Putnam’s slogan, the meaning of ‘water’ “just </w:t>
      </w:r>
      <w:proofErr w:type="spellStart"/>
      <w:r w:rsidR="005E4292" w:rsidRPr="007A2C81">
        <w:rPr>
          <w:szCs w:val="24"/>
        </w:rPr>
        <w:t>ain’t</w:t>
      </w:r>
      <w:proofErr w:type="spellEnd"/>
      <w:r w:rsidR="005E4292" w:rsidRPr="007A2C81">
        <w:rPr>
          <w:szCs w:val="24"/>
        </w:rPr>
        <w:t xml:space="preserve"> in the head”. Needham does not attempt to undermine that challenge.</w:t>
      </w:r>
    </w:p>
    <w:p w:rsidR="005E4292" w:rsidRPr="007A2C81" w:rsidRDefault="005E4292" w:rsidP="005E4292">
      <w:pPr>
        <w:ind w:firstLine="720"/>
        <w:rPr>
          <w:iCs/>
          <w:szCs w:val="24"/>
        </w:rPr>
      </w:pPr>
    </w:p>
    <w:p w:rsidR="00F85657" w:rsidRPr="007A2C81" w:rsidRDefault="00BF69E5" w:rsidP="00DA2B4E">
      <w:pPr>
        <w:ind w:firstLine="720"/>
        <w:rPr>
          <w:iCs/>
          <w:szCs w:val="24"/>
        </w:rPr>
      </w:pPr>
      <w:r w:rsidRPr="007A2C81">
        <w:rPr>
          <w:iCs/>
          <w:szCs w:val="24"/>
        </w:rPr>
        <w:t>(</w:t>
      </w:r>
      <w:r w:rsidR="00C557F2" w:rsidRPr="007A2C81">
        <w:rPr>
          <w:iCs/>
          <w:szCs w:val="24"/>
        </w:rPr>
        <w:t>2</w:t>
      </w:r>
      <w:r w:rsidRPr="007A2C81">
        <w:rPr>
          <w:iCs/>
          <w:szCs w:val="24"/>
        </w:rPr>
        <w:t xml:space="preserve">) Needham charges that </w:t>
      </w:r>
      <w:r w:rsidR="00DA2B4E" w:rsidRPr="007A2C81">
        <w:rPr>
          <w:iCs/>
          <w:szCs w:val="24"/>
        </w:rPr>
        <w:t>“</w:t>
      </w:r>
      <w:r w:rsidR="00811283" w:rsidRPr="007A2C81">
        <w:rPr>
          <w:iCs/>
          <w:szCs w:val="24"/>
        </w:rPr>
        <w:t xml:space="preserve">no argument has been given for the </w:t>
      </w:r>
      <w:proofErr w:type="spellStart"/>
      <w:r w:rsidR="00811283" w:rsidRPr="007A2C81">
        <w:rPr>
          <w:i/>
          <w:iCs/>
          <w:szCs w:val="24"/>
        </w:rPr>
        <w:t>microessentialist</w:t>
      </w:r>
      <w:proofErr w:type="spellEnd"/>
      <w:r w:rsidR="00811283" w:rsidRPr="007A2C81">
        <w:rPr>
          <w:i/>
          <w:iCs/>
          <w:szCs w:val="24"/>
        </w:rPr>
        <w:t xml:space="preserve"> </w:t>
      </w:r>
      <w:r w:rsidR="00811283" w:rsidRPr="007A2C81">
        <w:rPr>
          <w:iCs/>
          <w:szCs w:val="24"/>
        </w:rPr>
        <w:t xml:space="preserve">claim that we must turn to microscopic features to obtain an adequate </w:t>
      </w:r>
      <w:proofErr w:type="spellStart"/>
      <w:r w:rsidR="00811283" w:rsidRPr="007A2C81">
        <w:rPr>
          <w:iCs/>
          <w:szCs w:val="24"/>
        </w:rPr>
        <w:t>characterisation</w:t>
      </w:r>
      <w:proofErr w:type="spellEnd"/>
      <w:r w:rsidR="00811283" w:rsidRPr="007A2C81">
        <w:rPr>
          <w:iCs/>
          <w:szCs w:val="24"/>
        </w:rPr>
        <w:t xml:space="preserve"> of a substance</w:t>
      </w:r>
      <w:r w:rsidR="00DA2B4E" w:rsidRPr="007A2C81">
        <w:rPr>
          <w:iCs/>
          <w:szCs w:val="24"/>
        </w:rPr>
        <w:t>”</w:t>
      </w:r>
      <w:r w:rsidR="00811283" w:rsidRPr="007A2C81">
        <w:rPr>
          <w:iCs/>
          <w:szCs w:val="24"/>
        </w:rPr>
        <w:t xml:space="preserve"> (</w:t>
      </w:r>
      <w:r w:rsidR="00DA2B4E" w:rsidRPr="007A2C81">
        <w:rPr>
          <w:iCs/>
          <w:szCs w:val="24"/>
        </w:rPr>
        <w:t xml:space="preserve">2011: </w:t>
      </w:r>
      <w:r w:rsidR="00811283" w:rsidRPr="007A2C81">
        <w:rPr>
          <w:iCs/>
          <w:szCs w:val="24"/>
        </w:rPr>
        <w:t>4)</w:t>
      </w:r>
      <w:r w:rsidR="00DA2B4E" w:rsidRPr="007A2C81">
        <w:rPr>
          <w:iCs/>
          <w:szCs w:val="24"/>
        </w:rPr>
        <w:t xml:space="preserve">. </w:t>
      </w:r>
      <w:r w:rsidR="008A776E" w:rsidRPr="007A2C81">
        <w:rPr>
          <w:iCs/>
          <w:szCs w:val="24"/>
        </w:rPr>
        <w:t>Here N</w:t>
      </w:r>
      <w:r w:rsidR="00F85657" w:rsidRPr="007A2C81">
        <w:rPr>
          <w:iCs/>
          <w:szCs w:val="24"/>
        </w:rPr>
        <w:t>eedham is on firm</w:t>
      </w:r>
      <w:r w:rsidR="00CD1E6B">
        <w:rPr>
          <w:iCs/>
          <w:szCs w:val="24"/>
        </w:rPr>
        <w:t>er</w:t>
      </w:r>
      <w:r w:rsidR="00DA2B4E" w:rsidRPr="007A2C81">
        <w:rPr>
          <w:iCs/>
          <w:szCs w:val="24"/>
        </w:rPr>
        <w:t xml:space="preserve"> footing:</w:t>
      </w:r>
      <w:r w:rsidR="008A776E" w:rsidRPr="007A2C81">
        <w:rPr>
          <w:iCs/>
          <w:szCs w:val="24"/>
        </w:rPr>
        <w:t xml:space="preserve"> </w:t>
      </w:r>
      <w:proofErr w:type="spellStart"/>
      <w:r w:rsidR="00C557F2" w:rsidRPr="007A2C81">
        <w:rPr>
          <w:iCs/>
          <w:szCs w:val="24"/>
        </w:rPr>
        <w:t>Kripke</w:t>
      </w:r>
      <w:r w:rsidR="00295CE0" w:rsidRPr="007A2C81">
        <w:rPr>
          <w:iCs/>
          <w:szCs w:val="24"/>
        </w:rPr>
        <w:t>’</w:t>
      </w:r>
      <w:r w:rsidR="008A776E" w:rsidRPr="007A2C81">
        <w:rPr>
          <w:iCs/>
          <w:szCs w:val="24"/>
        </w:rPr>
        <w:t>s</w:t>
      </w:r>
      <w:proofErr w:type="spellEnd"/>
      <w:r w:rsidR="008A776E" w:rsidRPr="007A2C81">
        <w:rPr>
          <w:iCs/>
          <w:szCs w:val="24"/>
        </w:rPr>
        <w:t xml:space="preserve"> </w:t>
      </w:r>
      <w:r w:rsidR="0033352E" w:rsidRPr="007A2C81">
        <w:rPr>
          <w:iCs/>
          <w:szCs w:val="24"/>
        </w:rPr>
        <w:t>essentialism</w:t>
      </w:r>
      <w:r w:rsidR="008A776E" w:rsidRPr="007A2C81">
        <w:rPr>
          <w:iCs/>
          <w:szCs w:val="24"/>
        </w:rPr>
        <w:t xml:space="preserve"> rests</w:t>
      </w:r>
      <w:r w:rsidR="0033352E" w:rsidRPr="007A2C81">
        <w:rPr>
          <w:iCs/>
          <w:szCs w:val="24"/>
        </w:rPr>
        <w:t xml:space="preserve"> ultimately</w:t>
      </w:r>
      <w:r w:rsidR="008A776E" w:rsidRPr="007A2C81">
        <w:rPr>
          <w:iCs/>
          <w:szCs w:val="24"/>
        </w:rPr>
        <w:t xml:space="preserve"> on </w:t>
      </w:r>
      <w:r w:rsidR="008A776E" w:rsidRPr="007A2C81">
        <w:rPr>
          <w:iCs/>
          <w:szCs w:val="24"/>
        </w:rPr>
        <w:lastRenderedPageBreak/>
        <w:t>intuitions. It just seems</w:t>
      </w:r>
      <w:r w:rsidR="006D0C9C" w:rsidRPr="007A2C81">
        <w:rPr>
          <w:iCs/>
          <w:szCs w:val="24"/>
        </w:rPr>
        <w:t xml:space="preserve"> intuitively clear to </w:t>
      </w:r>
      <w:r w:rsidR="00CD1E6B">
        <w:rPr>
          <w:iCs/>
          <w:szCs w:val="24"/>
        </w:rPr>
        <w:t>him</w:t>
      </w:r>
      <w:r w:rsidR="005A0A59" w:rsidRPr="007A2C81">
        <w:rPr>
          <w:iCs/>
          <w:szCs w:val="24"/>
        </w:rPr>
        <w:t xml:space="preserve"> – and, we should note, to many other philosophers -</w:t>
      </w:r>
      <w:r w:rsidR="006D0C9C" w:rsidRPr="007A2C81">
        <w:rPr>
          <w:iCs/>
          <w:szCs w:val="24"/>
        </w:rPr>
        <w:t xml:space="preserve"> that</w:t>
      </w:r>
      <w:r w:rsidR="00C557F2" w:rsidRPr="007A2C81">
        <w:rPr>
          <w:iCs/>
          <w:szCs w:val="24"/>
        </w:rPr>
        <w:t xml:space="preserve"> the</w:t>
      </w:r>
      <w:r w:rsidR="006D0C9C" w:rsidRPr="007A2C81">
        <w:rPr>
          <w:iCs/>
          <w:szCs w:val="24"/>
        </w:rPr>
        <w:t xml:space="preserve"> properties</w:t>
      </w:r>
      <w:r w:rsidR="00C557F2" w:rsidRPr="007A2C81">
        <w:rPr>
          <w:iCs/>
          <w:szCs w:val="24"/>
        </w:rPr>
        <w:t xml:space="preserve"> commonly associated </w:t>
      </w:r>
      <w:r w:rsidR="006D0C9C" w:rsidRPr="007A2C81">
        <w:rPr>
          <w:iCs/>
          <w:szCs w:val="24"/>
        </w:rPr>
        <w:t xml:space="preserve">with water, gold, and the like, </w:t>
      </w:r>
      <w:r w:rsidR="005A0A59" w:rsidRPr="007A2C81">
        <w:rPr>
          <w:iCs/>
          <w:szCs w:val="24"/>
        </w:rPr>
        <w:t>of the sort</w:t>
      </w:r>
      <w:r w:rsidR="006D0C9C" w:rsidRPr="007A2C81">
        <w:rPr>
          <w:iCs/>
          <w:szCs w:val="24"/>
        </w:rPr>
        <w:t xml:space="preserve"> </w:t>
      </w:r>
      <w:r w:rsidR="00207135" w:rsidRPr="007A2C81">
        <w:rPr>
          <w:iCs/>
          <w:szCs w:val="24"/>
        </w:rPr>
        <w:t>listed</w:t>
      </w:r>
      <w:r w:rsidR="006D0C9C" w:rsidRPr="007A2C81">
        <w:rPr>
          <w:iCs/>
          <w:szCs w:val="24"/>
        </w:rPr>
        <w:t xml:space="preserve"> in</w:t>
      </w:r>
      <w:r w:rsidR="005A0A59" w:rsidRPr="007A2C81">
        <w:rPr>
          <w:iCs/>
          <w:szCs w:val="24"/>
        </w:rPr>
        <w:t xml:space="preserve"> a</w:t>
      </w:r>
      <w:r w:rsidR="006D0C9C" w:rsidRPr="007A2C81">
        <w:rPr>
          <w:iCs/>
          <w:szCs w:val="24"/>
        </w:rPr>
        <w:t xml:space="preserve"> dictionar</w:t>
      </w:r>
      <w:r w:rsidR="005A0A59" w:rsidRPr="007A2C81">
        <w:rPr>
          <w:iCs/>
          <w:szCs w:val="24"/>
        </w:rPr>
        <w:t>y</w:t>
      </w:r>
      <w:r w:rsidR="006D0C9C" w:rsidRPr="007A2C81">
        <w:rPr>
          <w:iCs/>
          <w:szCs w:val="24"/>
        </w:rPr>
        <w:t>, are not essential to them and that some</w:t>
      </w:r>
      <w:r w:rsidR="00C557F2" w:rsidRPr="007A2C81">
        <w:rPr>
          <w:iCs/>
          <w:szCs w:val="24"/>
        </w:rPr>
        <w:t xml:space="preserve"> “atomic” “internal structure” is</w:t>
      </w:r>
      <w:r w:rsidR="006D0C9C" w:rsidRPr="007A2C81">
        <w:rPr>
          <w:iCs/>
          <w:szCs w:val="24"/>
        </w:rPr>
        <w:t xml:space="preserve"> (119-129)</w:t>
      </w:r>
      <w:r w:rsidR="00C557F2" w:rsidRPr="007A2C81">
        <w:rPr>
          <w:iCs/>
          <w:szCs w:val="24"/>
        </w:rPr>
        <w:t>.</w:t>
      </w:r>
      <w:r w:rsidR="00F85657" w:rsidRPr="007A2C81">
        <w:rPr>
          <w:iCs/>
          <w:szCs w:val="24"/>
        </w:rPr>
        <w:t xml:space="preserve"> </w:t>
      </w:r>
      <w:r w:rsidR="00CF3A12" w:rsidRPr="007A2C81">
        <w:rPr>
          <w:iCs/>
          <w:szCs w:val="24"/>
        </w:rPr>
        <w:t>Still,</w:t>
      </w:r>
      <w:r w:rsidR="00DA2B4E" w:rsidRPr="007A2C81">
        <w:rPr>
          <w:iCs/>
          <w:szCs w:val="24"/>
        </w:rPr>
        <w:t xml:space="preserve"> if this reliance on intuition</w:t>
      </w:r>
      <w:r w:rsidR="0080315D" w:rsidRPr="007A2C81">
        <w:rPr>
          <w:iCs/>
          <w:szCs w:val="24"/>
        </w:rPr>
        <w:t xml:space="preserve"> is a sin, sin is </w:t>
      </w:r>
      <w:r w:rsidR="00CD1E6B">
        <w:rPr>
          <w:iCs/>
          <w:szCs w:val="24"/>
        </w:rPr>
        <w:t>everywhere</w:t>
      </w:r>
      <w:r w:rsidR="0080315D" w:rsidRPr="007A2C81">
        <w:rPr>
          <w:iCs/>
          <w:szCs w:val="24"/>
        </w:rPr>
        <w:t xml:space="preserve"> in philosophy</w:t>
      </w:r>
      <w:r w:rsidR="00145195" w:rsidRPr="007A2C81">
        <w:rPr>
          <w:iCs/>
          <w:szCs w:val="24"/>
        </w:rPr>
        <w:t>, particularly in metaphysics</w:t>
      </w:r>
      <w:r w:rsidR="0080315D" w:rsidRPr="007A2C81">
        <w:rPr>
          <w:iCs/>
          <w:szCs w:val="24"/>
        </w:rPr>
        <w:t xml:space="preserve">. </w:t>
      </w:r>
      <w:r w:rsidR="00207135" w:rsidRPr="007A2C81">
        <w:rPr>
          <w:iCs/>
          <w:szCs w:val="24"/>
        </w:rPr>
        <w:t>In any case,</w:t>
      </w:r>
      <w:r w:rsidR="0080315D" w:rsidRPr="007A2C81">
        <w:rPr>
          <w:iCs/>
          <w:szCs w:val="24"/>
        </w:rPr>
        <w:t xml:space="preserve"> </w:t>
      </w:r>
      <w:proofErr w:type="spellStart"/>
      <w:r w:rsidR="0080315D" w:rsidRPr="007A2C81">
        <w:rPr>
          <w:iCs/>
          <w:szCs w:val="24"/>
        </w:rPr>
        <w:t>Kripke</w:t>
      </w:r>
      <w:r w:rsidR="00295CE0" w:rsidRPr="007A2C81">
        <w:rPr>
          <w:iCs/>
          <w:szCs w:val="24"/>
        </w:rPr>
        <w:t>’</w:t>
      </w:r>
      <w:r w:rsidR="0080315D" w:rsidRPr="007A2C81">
        <w:rPr>
          <w:iCs/>
          <w:szCs w:val="24"/>
        </w:rPr>
        <w:t>s</w:t>
      </w:r>
      <w:proofErr w:type="spellEnd"/>
      <w:r w:rsidR="0080315D" w:rsidRPr="007A2C81">
        <w:rPr>
          <w:iCs/>
          <w:szCs w:val="24"/>
        </w:rPr>
        <w:t xml:space="preserve"> intuitions</w:t>
      </w:r>
      <w:r w:rsidR="00F85657" w:rsidRPr="007A2C81">
        <w:rPr>
          <w:iCs/>
          <w:szCs w:val="24"/>
        </w:rPr>
        <w:t xml:space="preserve"> can be argued for along the same lines </w:t>
      </w:r>
      <w:r w:rsidR="004B4BC4" w:rsidRPr="007A2C81">
        <w:rPr>
          <w:iCs/>
          <w:szCs w:val="24"/>
        </w:rPr>
        <w:t>as the argument for biological essentialism briefly descri</w:t>
      </w:r>
      <w:r w:rsidR="008D3B76" w:rsidRPr="007A2C81">
        <w:rPr>
          <w:iCs/>
          <w:szCs w:val="24"/>
        </w:rPr>
        <w:t>bed in section 6</w:t>
      </w:r>
      <w:r w:rsidR="00F85657" w:rsidRPr="007A2C81">
        <w:rPr>
          <w:iCs/>
          <w:szCs w:val="24"/>
        </w:rPr>
        <w:t>: it is in virtue of having some underlying micro</w:t>
      </w:r>
      <w:r w:rsidR="00DA2B4E" w:rsidRPr="007A2C81">
        <w:rPr>
          <w:iCs/>
          <w:szCs w:val="24"/>
        </w:rPr>
        <w:t>scopic</w:t>
      </w:r>
      <w:r w:rsidR="00F85657" w:rsidRPr="007A2C81">
        <w:rPr>
          <w:iCs/>
          <w:szCs w:val="24"/>
        </w:rPr>
        <w:t xml:space="preserve"> property that water has those commonly associated properties and</w:t>
      </w:r>
      <w:r w:rsidR="00DA2B4E" w:rsidRPr="007A2C81">
        <w:rPr>
          <w:iCs/>
          <w:szCs w:val="24"/>
        </w:rPr>
        <w:t xml:space="preserve"> </w:t>
      </w:r>
      <w:r w:rsidR="00F85657" w:rsidRPr="007A2C81">
        <w:rPr>
          <w:iCs/>
          <w:szCs w:val="24"/>
        </w:rPr>
        <w:t>plays its causal role</w:t>
      </w:r>
      <w:r w:rsidR="00CF3A12" w:rsidRPr="007A2C81">
        <w:rPr>
          <w:iCs/>
          <w:szCs w:val="24"/>
        </w:rPr>
        <w:t xml:space="preserve"> in the world</w:t>
      </w:r>
      <w:r w:rsidR="00D818BF">
        <w:rPr>
          <w:iCs/>
          <w:szCs w:val="24"/>
        </w:rPr>
        <w:t xml:space="preserve">; </w:t>
      </w:r>
      <w:r w:rsidR="00D818BF" w:rsidRPr="00CD1E6B">
        <w:rPr>
          <w:i/>
          <w:iCs/>
          <w:szCs w:val="24"/>
        </w:rPr>
        <w:t>that</w:t>
      </w:r>
      <w:r w:rsidR="00D818BF">
        <w:rPr>
          <w:iCs/>
          <w:szCs w:val="24"/>
        </w:rPr>
        <w:t xml:space="preserve"> property is </w:t>
      </w:r>
      <w:proofErr w:type="spellStart"/>
      <w:r w:rsidR="00D818BF">
        <w:rPr>
          <w:iCs/>
          <w:szCs w:val="24"/>
        </w:rPr>
        <w:t>superexplanatory</w:t>
      </w:r>
      <w:proofErr w:type="spellEnd"/>
      <w:r w:rsidR="00F85657" w:rsidRPr="007A2C81">
        <w:rPr>
          <w:iCs/>
          <w:szCs w:val="24"/>
        </w:rPr>
        <w:t>.</w:t>
      </w:r>
      <w:r w:rsidR="00CD1E6B">
        <w:rPr>
          <w:iCs/>
          <w:szCs w:val="24"/>
        </w:rPr>
        <w:t xml:space="preserve"> And this, in effect, is what Hendry (forthcoming) </w:t>
      </w:r>
      <w:r w:rsidR="00CD1E6B" w:rsidRPr="00CD1E6B">
        <w:rPr>
          <w:i/>
          <w:iCs/>
          <w:szCs w:val="24"/>
        </w:rPr>
        <w:t>does</w:t>
      </w:r>
      <w:r w:rsidR="00CD1E6B">
        <w:rPr>
          <w:iCs/>
          <w:szCs w:val="24"/>
        </w:rPr>
        <w:t xml:space="preserve"> argue</w:t>
      </w:r>
      <w:r w:rsidR="00822B48">
        <w:rPr>
          <w:iCs/>
          <w:szCs w:val="24"/>
        </w:rPr>
        <w:t>.</w:t>
      </w:r>
      <w:r w:rsidR="00F85657" w:rsidRPr="007A2C81">
        <w:rPr>
          <w:iCs/>
          <w:szCs w:val="24"/>
        </w:rPr>
        <w:t xml:space="preserve"> </w:t>
      </w:r>
      <w:r w:rsidR="007A4FC5">
        <w:rPr>
          <w:iCs/>
          <w:szCs w:val="24"/>
        </w:rPr>
        <w:t>This</w:t>
      </w:r>
      <w:r w:rsidR="00571DA8">
        <w:rPr>
          <w:iCs/>
          <w:szCs w:val="24"/>
        </w:rPr>
        <w:t xml:space="preserve"> argument for </w:t>
      </w:r>
      <w:proofErr w:type="spellStart"/>
      <w:r w:rsidR="00571DA8">
        <w:rPr>
          <w:iCs/>
          <w:szCs w:val="24"/>
        </w:rPr>
        <w:t>microessentialism</w:t>
      </w:r>
      <w:proofErr w:type="spellEnd"/>
      <w:r w:rsidR="00571DA8">
        <w:rPr>
          <w:iCs/>
          <w:szCs w:val="24"/>
        </w:rPr>
        <w:t xml:space="preserve"> rests on</w:t>
      </w:r>
      <w:r w:rsidR="007A4FC5">
        <w:rPr>
          <w:iCs/>
          <w:szCs w:val="24"/>
        </w:rPr>
        <w:t xml:space="preserve"> an empirical hypothesis, of course</w:t>
      </w:r>
      <w:r w:rsidR="00571DA8">
        <w:rPr>
          <w:iCs/>
          <w:szCs w:val="24"/>
        </w:rPr>
        <w:t>.</w:t>
      </w:r>
      <w:r w:rsidR="00F85657" w:rsidRPr="007A2C81">
        <w:rPr>
          <w:iCs/>
          <w:szCs w:val="24"/>
        </w:rPr>
        <w:t xml:space="preserve"> I think we should see such a hypothesis as underlying </w:t>
      </w:r>
      <w:proofErr w:type="spellStart"/>
      <w:r w:rsidR="00F85657" w:rsidRPr="007A2C81">
        <w:rPr>
          <w:iCs/>
          <w:szCs w:val="24"/>
        </w:rPr>
        <w:t>Kripke</w:t>
      </w:r>
      <w:r w:rsidR="00295CE0" w:rsidRPr="007A2C81">
        <w:rPr>
          <w:iCs/>
          <w:szCs w:val="24"/>
        </w:rPr>
        <w:t>’</w:t>
      </w:r>
      <w:r w:rsidR="00F85657" w:rsidRPr="007A2C81">
        <w:rPr>
          <w:iCs/>
          <w:szCs w:val="24"/>
        </w:rPr>
        <w:t>s</w:t>
      </w:r>
      <w:proofErr w:type="spellEnd"/>
      <w:r w:rsidR="00F85657" w:rsidRPr="007A2C81">
        <w:rPr>
          <w:iCs/>
          <w:szCs w:val="24"/>
        </w:rPr>
        <w:t xml:space="preserve"> essentialist intuitions.</w:t>
      </w:r>
    </w:p>
    <w:p w:rsidR="00F85657" w:rsidRPr="007A2C81" w:rsidRDefault="007A6BEC" w:rsidP="00811283">
      <w:pPr>
        <w:rPr>
          <w:iCs/>
          <w:szCs w:val="24"/>
        </w:rPr>
      </w:pPr>
      <w:r>
        <w:rPr>
          <w:iCs/>
          <w:szCs w:val="24"/>
        </w:rPr>
        <w:t xml:space="preserve"> </w:t>
      </w:r>
    </w:p>
    <w:p w:rsidR="00811283" w:rsidRPr="007A2C81" w:rsidRDefault="007A4FC5" w:rsidP="0080315D">
      <w:pPr>
        <w:rPr>
          <w:iCs/>
          <w:szCs w:val="24"/>
        </w:rPr>
      </w:pPr>
      <w:r>
        <w:rPr>
          <w:iCs/>
          <w:szCs w:val="24"/>
        </w:rPr>
        <w:tab/>
        <w:t>(3) Needham claims</w:t>
      </w:r>
      <w:r w:rsidR="00DA2B4E" w:rsidRPr="007A2C81">
        <w:rPr>
          <w:iCs/>
          <w:szCs w:val="24"/>
        </w:rPr>
        <w:t xml:space="preserve"> that </w:t>
      </w:r>
      <w:r w:rsidR="0080315D" w:rsidRPr="007A2C81">
        <w:rPr>
          <w:iCs/>
          <w:szCs w:val="24"/>
        </w:rPr>
        <w:t xml:space="preserve">“a </w:t>
      </w:r>
      <w:proofErr w:type="spellStart"/>
      <w:r w:rsidR="00C557F2" w:rsidRPr="007A2C81">
        <w:rPr>
          <w:iCs/>
          <w:szCs w:val="24"/>
        </w:rPr>
        <w:t>characterisation</w:t>
      </w:r>
      <w:proofErr w:type="spellEnd"/>
      <w:r w:rsidR="00C557F2" w:rsidRPr="007A2C81">
        <w:rPr>
          <w:iCs/>
          <w:szCs w:val="24"/>
        </w:rPr>
        <w:t xml:space="preserve"> of water which would seem to be a stereotypical one is easily given </w:t>
      </w:r>
      <w:r w:rsidR="0080315D" w:rsidRPr="007A2C81">
        <w:rPr>
          <w:iCs/>
          <w:szCs w:val="24"/>
        </w:rPr>
        <w:t>by specifying its melting point”</w:t>
      </w:r>
      <w:r w:rsidR="00C557F2" w:rsidRPr="007A2C81">
        <w:rPr>
          <w:iCs/>
          <w:szCs w:val="24"/>
        </w:rPr>
        <w:t xml:space="preserve"> (</w:t>
      </w:r>
      <w:r w:rsidR="0080315D" w:rsidRPr="007A2C81">
        <w:rPr>
          <w:iCs/>
          <w:szCs w:val="24"/>
        </w:rPr>
        <w:t xml:space="preserve">2011: </w:t>
      </w:r>
      <w:r w:rsidR="00C557F2" w:rsidRPr="007A2C81">
        <w:rPr>
          <w:iCs/>
          <w:szCs w:val="24"/>
        </w:rPr>
        <w:t>6)</w:t>
      </w:r>
      <w:r w:rsidR="0080315D" w:rsidRPr="007A2C81">
        <w:rPr>
          <w:iCs/>
          <w:szCs w:val="24"/>
        </w:rPr>
        <w:t>. “</w:t>
      </w:r>
      <w:r w:rsidR="00C557F2" w:rsidRPr="007A2C81">
        <w:rPr>
          <w:iCs/>
          <w:szCs w:val="24"/>
        </w:rPr>
        <w:t xml:space="preserve">It is not necessary, then, to resort to microscopic features in order to obtain an adequate </w:t>
      </w:r>
      <w:proofErr w:type="spellStart"/>
      <w:r w:rsidR="00C557F2" w:rsidRPr="007A2C81">
        <w:rPr>
          <w:iCs/>
          <w:szCs w:val="24"/>
        </w:rPr>
        <w:t>characterisation</w:t>
      </w:r>
      <w:proofErr w:type="spellEnd"/>
      <w:r w:rsidR="00C557F2" w:rsidRPr="007A2C81">
        <w:rPr>
          <w:iCs/>
          <w:szCs w:val="24"/>
        </w:rPr>
        <w:t xml:space="preserve"> of water, distinguishing it from other </w:t>
      </w:r>
      <w:r w:rsidR="0080315D" w:rsidRPr="007A2C81">
        <w:rPr>
          <w:iCs/>
          <w:szCs w:val="24"/>
        </w:rPr>
        <w:t>substances”</w:t>
      </w:r>
      <w:r w:rsidR="00C557F2" w:rsidRPr="007A2C81">
        <w:rPr>
          <w:iCs/>
          <w:szCs w:val="24"/>
        </w:rPr>
        <w:t xml:space="preserve"> (</w:t>
      </w:r>
      <w:r w:rsidR="0080315D" w:rsidRPr="007A2C81">
        <w:rPr>
          <w:iCs/>
          <w:szCs w:val="24"/>
        </w:rPr>
        <w:t xml:space="preserve">2011: </w:t>
      </w:r>
      <w:r w:rsidR="00C557F2" w:rsidRPr="007A2C81">
        <w:rPr>
          <w:iCs/>
          <w:szCs w:val="24"/>
        </w:rPr>
        <w:t>7)</w:t>
      </w:r>
      <w:r w:rsidR="0080315D" w:rsidRPr="007A2C81">
        <w:rPr>
          <w:iCs/>
          <w:szCs w:val="24"/>
        </w:rPr>
        <w:t xml:space="preserve">. But what Needham </w:t>
      </w:r>
      <w:r w:rsidR="00145195" w:rsidRPr="007A2C81">
        <w:rPr>
          <w:iCs/>
          <w:szCs w:val="24"/>
        </w:rPr>
        <w:t>has</w:t>
      </w:r>
      <w:r w:rsidR="0080315D" w:rsidRPr="007A2C81">
        <w:rPr>
          <w:iCs/>
          <w:szCs w:val="24"/>
        </w:rPr>
        <w:t xml:space="preserve"> in mind as a “</w:t>
      </w:r>
      <w:proofErr w:type="spellStart"/>
      <w:r w:rsidR="0080315D" w:rsidRPr="007A2C81">
        <w:rPr>
          <w:iCs/>
          <w:szCs w:val="24"/>
        </w:rPr>
        <w:t>characterisation</w:t>
      </w:r>
      <w:proofErr w:type="spellEnd"/>
      <w:r w:rsidR="0080315D" w:rsidRPr="007A2C81">
        <w:rPr>
          <w:iCs/>
          <w:szCs w:val="24"/>
        </w:rPr>
        <w:t>”</w:t>
      </w:r>
      <w:r w:rsidR="00145195" w:rsidRPr="007A2C81">
        <w:rPr>
          <w:iCs/>
          <w:szCs w:val="24"/>
        </w:rPr>
        <w:t>, a term that Kripke does not use,</w:t>
      </w:r>
      <w:r w:rsidR="0080315D" w:rsidRPr="007A2C81">
        <w:rPr>
          <w:iCs/>
          <w:szCs w:val="24"/>
        </w:rPr>
        <w:t xml:space="preserve"> seems much weaker than what Kripke has in mind as a</w:t>
      </w:r>
      <w:r w:rsidR="00FF57D7" w:rsidRPr="007A2C81">
        <w:rPr>
          <w:iCs/>
          <w:szCs w:val="24"/>
        </w:rPr>
        <w:t>n</w:t>
      </w:r>
      <w:r w:rsidR="0080315D" w:rsidRPr="007A2C81">
        <w:rPr>
          <w:iCs/>
          <w:szCs w:val="24"/>
        </w:rPr>
        <w:t xml:space="preserve"> essence. K</w:t>
      </w:r>
      <w:r w:rsidR="00571194" w:rsidRPr="007A2C81">
        <w:rPr>
          <w:iCs/>
          <w:szCs w:val="24"/>
        </w:rPr>
        <w:t xml:space="preserve">ripke is seeking the very nature of water, implicitly, I think, the </w:t>
      </w:r>
      <w:r w:rsidR="0033352E" w:rsidRPr="007A2C81">
        <w:rPr>
          <w:i/>
          <w:iCs/>
          <w:szCs w:val="24"/>
        </w:rPr>
        <w:t>explanatory</w:t>
      </w:r>
      <w:r w:rsidR="0033352E" w:rsidRPr="007A2C81">
        <w:rPr>
          <w:iCs/>
          <w:szCs w:val="24"/>
        </w:rPr>
        <w:t xml:space="preserve"> </w:t>
      </w:r>
      <w:r w:rsidR="00571194" w:rsidRPr="007A2C81">
        <w:rPr>
          <w:iCs/>
          <w:szCs w:val="24"/>
        </w:rPr>
        <w:t>property that gives water its causal role</w:t>
      </w:r>
      <w:r w:rsidR="005752B5" w:rsidRPr="007A2C81">
        <w:rPr>
          <w:iCs/>
          <w:szCs w:val="24"/>
        </w:rPr>
        <w:t>. He would not be satisfied with a property that simply</w:t>
      </w:r>
      <w:r w:rsidR="0080315D" w:rsidRPr="007A2C81">
        <w:rPr>
          <w:iCs/>
          <w:szCs w:val="24"/>
        </w:rPr>
        <w:t xml:space="preserve"> distinguishes </w:t>
      </w:r>
      <w:r w:rsidR="001D10CC" w:rsidRPr="007A2C81">
        <w:rPr>
          <w:iCs/>
          <w:szCs w:val="24"/>
        </w:rPr>
        <w:t>water from other stuff.</w:t>
      </w:r>
    </w:p>
    <w:p w:rsidR="00697973" w:rsidRPr="007A2C81" w:rsidRDefault="00697973" w:rsidP="008270B7">
      <w:pPr>
        <w:pStyle w:val="FootnoteText"/>
        <w:rPr>
          <w:sz w:val="24"/>
          <w:szCs w:val="24"/>
        </w:rPr>
      </w:pPr>
    </w:p>
    <w:p w:rsidR="008270B7" w:rsidRPr="007A2C81" w:rsidRDefault="008270B7" w:rsidP="008270B7">
      <w:pPr>
        <w:ind w:firstLine="720"/>
        <w:rPr>
          <w:szCs w:val="24"/>
        </w:rPr>
      </w:pPr>
      <w:r w:rsidRPr="007A2C81">
        <w:rPr>
          <w:szCs w:val="24"/>
        </w:rPr>
        <w:t xml:space="preserve">Finally, </w:t>
      </w:r>
      <w:r w:rsidR="0036761D" w:rsidRPr="007A2C81">
        <w:rPr>
          <w:szCs w:val="24"/>
        </w:rPr>
        <w:t xml:space="preserve">Sarah-Jane </w:t>
      </w:r>
      <w:r w:rsidRPr="007A2C81">
        <w:rPr>
          <w:szCs w:val="24"/>
        </w:rPr>
        <w:t>Leslie</w:t>
      </w:r>
      <w:r w:rsidR="00295CE0" w:rsidRPr="007A2C81">
        <w:rPr>
          <w:szCs w:val="24"/>
        </w:rPr>
        <w:t>’</w:t>
      </w:r>
      <w:r w:rsidR="0036761D" w:rsidRPr="007A2C81">
        <w:rPr>
          <w:szCs w:val="24"/>
        </w:rPr>
        <w:t>s</w:t>
      </w:r>
      <w:r w:rsidRPr="007A2C81">
        <w:rPr>
          <w:szCs w:val="24"/>
        </w:rPr>
        <w:t xml:space="preserve"> (2013, 143-52)</w:t>
      </w:r>
      <w:r w:rsidR="0036761D" w:rsidRPr="007A2C81">
        <w:rPr>
          <w:szCs w:val="24"/>
        </w:rPr>
        <w:t xml:space="preserve"> discussion of chemical kinds</w:t>
      </w:r>
      <w:r w:rsidRPr="007A2C81">
        <w:rPr>
          <w:szCs w:val="24"/>
        </w:rPr>
        <w:t xml:space="preserve"> reflect</w:t>
      </w:r>
      <w:r w:rsidR="00D671B6" w:rsidRPr="007A2C81">
        <w:rPr>
          <w:szCs w:val="24"/>
        </w:rPr>
        <w:t>s</w:t>
      </w:r>
      <w:r w:rsidRPr="007A2C81">
        <w:rPr>
          <w:szCs w:val="24"/>
        </w:rPr>
        <w:t xml:space="preserve"> the influenced of Needham</w:t>
      </w:r>
      <w:r w:rsidR="00D671B6" w:rsidRPr="007A2C81">
        <w:rPr>
          <w:szCs w:val="24"/>
        </w:rPr>
        <w:t xml:space="preserve"> but </w:t>
      </w:r>
      <w:r w:rsidR="0036761D" w:rsidRPr="007A2C81">
        <w:rPr>
          <w:szCs w:val="24"/>
        </w:rPr>
        <w:t>makes</w:t>
      </w:r>
      <w:r w:rsidRPr="007A2C81">
        <w:rPr>
          <w:szCs w:val="24"/>
        </w:rPr>
        <w:t xml:space="preserve"> a different criticism.</w:t>
      </w:r>
      <w:r w:rsidR="00274ABB" w:rsidRPr="007A2C81">
        <w:rPr>
          <w:szCs w:val="24"/>
        </w:rPr>
        <w:t xml:space="preserve"> </w:t>
      </w:r>
      <w:proofErr w:type="spellStart"/>
      <w:r w:rsidR="0036761D" w:rsidRPr="007A2C81">
        <w:rPr>
          <w:szCs w:val="24"/>
        </w:rPr>
        <w:t>Kripke</w:t>
      </w:r>
      <w:r w:rsidR="00295CE0" w:rsidRPr="007A2C81">
        <w:rPr>
          <w:szCs w:val="24"/>
        </w:rPr>
        <w:t>’</w:t>
      </w:r>
      <w:r w:rsidR="0036761D" w:rsidRPr="007A2C81">
        <w:rPr>
          <w:szCs w:val="24"/>
        </w:rPr>
        <w:t>s</w:t>
      </w:r>
      <w:proofErr w:type="spellEnd"/>
      <w:r w:rsidR="00274ABB" w:rsidRPr="007A2C81">
        <w:rPr>
          <w:szCs w:val="24"/>
        </w:rPr>
        <w:t xml:space="preserve"> discussion is all about gold and water, as her Kripke quotes, and mine above, indicate. Yet</w:t>
      </w:r>
      <w:r w:rsidRPr="007A2C81">
        <w:rPr>
          <w:szCs w:val="24"/>
        </w:rPr>
        <w:t xml:space="preserve"> Leslie thinks that it seems “reasonable to infer” from these passages a view of “the </w:t>
      </w:r>
      <w:r w:rsidRPr="007A2C81">
        <w:rPr>
          <w:i/>
          <w:iCs/>
          <w:szCs w:val="24"/>
        </w:rPr>
        <w:t xml:space="preserve">same substance </w:t>
      </w:r>
      <w:r w:rsidRPr="007A2C81">
        <w:rPr>
          <w:szCs w:val="24"/>
        </w:rPr>
        <w:t>relation” (p. 143</w:t>
      </w:r>
      <w:r w:rsidR="00274ABB" w:rsidRPr="007A2C81">
        <w:rPr>
          <w:szCs w:val="24"/>
        </w:rPr>
        <w:t xml:space="preserve">), </w:t>
      </w:r>
      <w:r w:rsidR="0036761D" w:rsidRPr="007A2C81">
        <w:rPr>
          <w:szCs w:val="24"/>
        </w:rPr>
        <w:t>a view that</w:t>
      </w:r>
      <w:r w:rsidRPr="007A2C81">
        <w:rPr>
          <w:szCs w:val="24"/>
        </w:rPr>
        <w:t xml:space="preserve"> she then goes on to criticize</w:t>
      </w:r>
      <w:r w:rsidR="0036761D" w:rsidRPr="007A2C81">
        <w:rPr>
          <w:szCs w:val="24"/>
        </w:rPr>
        <w:t xml:space="preserve"> at length</w:t>
      </w:r>
      <w:r w:rsidRPr="007A2C81">
        <w:rPr>
          <w:szCs w:val="24"/>
        </w:rPr>
        <w:t xml:space="preserve">. But this inference is </w:t>
      </w:r>
      <w:r w:rsidR="00274ABB" w:rsidRPr="007A2C81">
        <w:rPr>
          <w:szCs w:val="24"/>
        </w:rPr>
        <w:t xml:space="preserve">not reasonable at all. </w:t>
      </w:r>
      <w:r w:rsidR="00D671B6" w:rsidRPr="007A2C81">
        <w:rPr>
          <w:szCs w:val="24"/>
        </w:rPr>
        <w:t xml:space="preserve">It is one thing to say what it is </w:t>
      </w:r>
      <w:r w:rsidR="00274ABB" w:rsidRPr="007A2C81">
        <w:rPr>
          <w:szCs w:val="24"/>
        </w:rPr>
        <w:t>to be gold or water</w:t>
      </w:r>
      <w:r w:rsidR="00D671B6" w:rsidRPr="007A2C81">
        <w:rPr>
          <w:szCs w:val="24"/>
        </w:rPr>
        <w:t>; it is</w:t>
      </w:r>
      <w:r w:rsidR="0036761D" w:rsidRPr="007A2C81">
        <w:rPr>
          <w:szCs w:val="24"/>
        </w:rPr>
        <w:t xml:space="preserve"> quite</w:t>
      </w:r>
      <w:r w:rsidR="00D671B6" w:rsidRPr="007A2C81">
        <w:rPr>
          <w:szCs w:val="24"/>
        </w:rPr>
        <w:t xml:space="preserve"> another to say</w:t>
      </w:r>
      <w:r w:rsidR="00274ABB" w:rsidRPr="007A2C81">
        <w:rPr>
          <w:szCs w:val="24"/>
        </w:rPr>
        <w:t xml:space="preserve"> what</w:t>
      </w:r>
      <w:r w:rsidR="00695404" w:rsidRPr="007A2C81">
        <w:rPr>
          <w:szCs w:val="24"/>
        </w:rPr>
        <w:t xml:space="preserve"> it is for</w:t>
      </w:r>
      <w:r w:rsidR="0036761D" w:rsidRPr="007A2C81">
        <w:rPr>
          <w:szCs w:val="24"/>
        </w:rPr>
        <w:t xml:space="preserve"> </w:t>
      </w:r>
      <w:r w:rsidR="00513A34">
        <w:rPr>
          <w:szCs w:val="24"/>
        </w:rPr>
        <w:t xml:space="preserve">gold or water or any other </w:t>
      </w:r>
      <w:r w:rsidR="008D3B76" w:rsidRPr="007A2C81">
        <w:rPr>
          <w:szCs w:val="24"/>
        </w:rPr>
        <w:t>stuff</w:t>
      </w:r>
      <w:r w:rsidR="00274ABB" w:rsidRPr="007A2C81">
        <w:rPr>
          <w:szCs w:val="24"/>
        </w:rPr>
        <w:t xml:space="preserve"> </w:t>
      </w:r>
      <w:r w:rsidR="00695404" w:rsidRPr="007A2C81">
        <w:rPr>
          <w:szCs w:val="24"/>
        </w:rPr>
        <w:t xml:space="preserve">to be </w:t>
      </w:r>
      <w:r w:rsidR="00D671B6" w:rsidRPr="007A2C81">
        <w:rPr>
          <w:szCs w:val="24"/>
        </w:rPr>
        <w:t xml:space="preserve">a </w:t>
      </w:r>
      <w:r w:rsidR="00274ABB" w:rsidRPr="007A2C81">
        <w:rPr>
          <w:szCs w:val="24"/>
        </w:rPr>
        <w:t>“</w:t>
      </w:r>
      <w:r w:rsidR="00D671B6" w:rsidRPr="007A2C81">
        <w:rPr>
          <w:szCs w:val="24"/>
        </w:rPr>
        <w:t>substance</w:t>
      </w:r>
      <w:r w:rsidR="00274ABB" w:rsidRPr="007A2C81">
        <w:rPr>
          <w:szCs w:val="24"/>
        </w:rPr>
        <w:t>”</w:t>
      </w:r>
      <w:r w:rsidR="00D671B6" w:rsidRPr="007A2C81">
        <w:rPr>
          <w:szCs w:val="24"/>
        </w:rPr>
        <w:t>,</w:t>
      </w:r>
      <w:r w:rsidR="00274ABB" w:rsidRPr="007A2C81">
        <w:rPr>
          <w:szCs w:val="24"/>
        </w:rPr>
        <w:t xml:space="preserve"> hence</w:t>
      </w:r>
      <w:r w:rsidR="0036761D" w:rsidRPr="007A2C81">
        <w:rPr>
          <w:szCs w:val="24"/>
        </w:rPr>
        <w:t xml:space="preserve"> to say</w:t>
      </w:r>
      <w:r w:rsidR="00D671B6" w:rsidRPr="007A2C81">
        <w:rPr>
          <w:szCs w:val="24"/>
        </w:rPr>
        <w:t xml:space="preserve"> what it is for</w:t>
      </w:r>
      <w:r w:rsidR="008D3B76" w:rsidRPr="007A2C81">
        <w:rPr>
          <w:szCs w:val="24"/>
        </w:rPr>
        <w:t xml:space="preserve"> stuffs</w:t>
      </w:r>
      <w:r w:rsidR="00D671B6" w:rsidRPr="007A2C81">
        <w:rPr>
          <w:szCs w:val="24"/>
        </w:rPr>
        <w:t xml:space="preserve"> X and Y to be “the </w:t>
      </w:r>
      <w:r w:rsidR="00D671B6" w:rsidRPr="007A2C81">
        <w:rPr>
          <w:i/>
          <w:szCs w:val="24"/>
        </w:rPr>
        <w:t>same</w:t>
      </w:r>
      <w:r w:rsidR="00D671B6" w:rsidRPr="007A2C81">
        <w:rPr>
          <w:szCs w:val="24"/>
        </w:rPr>
        <w:t xml:space="preserve"> substance”. Analogously, it is one thing to say what</w:t>
      </w:r>
      <w:r w:rsidR="00513A34">
        <w:rPr>
          <w:szCs w:val="24"/>
        </w:rPr>
        <w:t xml:space="preserve"> it is to be a</w:t>
      </w:r>
      <w:r w:rsidR="00D671B6" w:rsidRPr="007A2C81">
        <w:rPr>
          <w:szCs w:val="24"/>
        </w:rPr>
        <w:t xml:space="preserve"> </w:t>
      </w:r>
      <w:r w:rsidR="00513A34">
        <w:rPr>
          <w:szCs w:val="24"/>
        </w:rPr>
        <w:t>tiger or</w:t>
      </w:r>
      <w:r w:rsidR="005774AA">
        <w:rPr>
          <w:szCs w:val="24"/>
        </w:rPr>
        <w:t xml:space="preserve"> a cat</w:t>
      </w:r>
      <w:r w:rsidR="005A0A59" w:rsidRPr="007A2C81">
        <w:rPr>
          <w:szCs w:val="24"/>
        </w:rPr>
        <w:t>;</w:t>
      </w:r>
      <w:r w:rsidR="00D671B6" w:rsidRPr="007A2C81">
        <w:rPr>
          <w:szCs w:val="24"/>
        </w:rPr>
        <w:t xml:space="preserve"> it is</w:t>
      </w:r>
      <w:r w:rsidR="00274ABB" w:rsidRPr="007A2C81">
        <w:rPr>
          <w:szCs w:val="24"/>
        </w:rPr>
        <w:t xml:space="preserve"> </w:t>
      </w:r>
      <w:r w:rsidR="0036761D" w:rsidRPr="007A2C81">
        <w:rPr>
          <w:szCs w:val="24"/>
        </w:rPr>
        <w:t xml:space="preserve">quite </w:t>
      </w:r>
      <w:r w:rsidR="00274ABB" w:rsidRPr="007A2C81">
        <w:rPr>
          <w:szCs w:val="24"/>
        </w:rPr>
        <w:t>another</w:t>
      </w:r>
      <w:r w:rsidR="00D671B6" w:rsidRPr="007A2C81">
        <w:rPr>
          <w:szCs w:val="24"/>
        </w:rPr>
        <w:t xml:space="preserve"> thing to say what it is for tigers</w:t>
      </w:r>
      <w:r w:rsidR="005774AA">
        <w:rPr>
          <w:szCs w:val="24"/>
        </w:rPr>
        <w:t xml:space="preserve"> or cats or any other taxon</w:t>
      </w:r>
      <w:r w:rsidR="00D671B6" w:rsidRPr="007A2C81">
        <w:rPr>
          <w:szCs w:val="24"/>
        </w:rPr>
        <w:t xml:space="preserve"> to be a </w:t>
      </w:r>
      <w:r w:rsidR="005774AA">
        <w:rPr>
          <w:szCs w:val="24"/>
        </w:rPr>
        <w:t>“</w:t>
      </w:r>
      <w:r w:rsidR="00D671B6" w:rsidRPr="007A2C81">
        <w:rPr>
          <w:szCs w:val="24"/>
        </w:rPr>
        <w:t>species</w:t>
      </w:r>
      <w:r w:rsidR="005774AA">
        <w:rPr>
          <w:szCs w:val="24"/>
        </w:rPr>
        <w:t>”</w:t>
      </w:r>
      <w:r w:rsidR="0036761D" w:rsidRPr="007A2C81">
        <w:rPr>
          <w:szCs w:val="24"/>
        </w:rPr>
        <w:t>,</w:t>
      </w:r>
      <w:r w:rsidR="00D671B6" w:rsidRPr="007A2C81">
        <w:rPr>
          <w:szCs w:val="24"/>
        </w:rPr>
        <w:t xml:space="preserve"> hence</w:t>
      </w:r>
      <w:r w:rsidR="00695404" w:rsidRPr="007A2C81">
        <w:rPr>
          <w:szCs w:val="24"/>
        </w:rPr>
        <w:t xml:space="preserve"> to say</w:t>
      </w:r>
      <w:r w:rsidR="00D671B6" w:rsidRPr="007A2C81">
        <w:rPr>
          <w:szCs w:val="24"/>
        </w:rPr>
        <w:t xml:space="preserve"> what it is for</w:t>
      </w:r>
      <w:r w:rsidR="002D5268" w:rsidRPr="007A2C81">
        <w:rPr>
          <w:szCs w:val="24"/>
        </w:rPr>
        <w:t xml:space="preserve"> taxa</w:t>
      </w:r>
      <w:r w:rsidR="00D671B6" w:rsidRPr="007A2C81">
        <w:rPr>
          <w:szCs w:val="24"/>
        </w:rPr>
        <w:t xml:space="preserve"> X and Y to be “the same species”.</w:t>
      </w:r>
      <w:r w:rsidR="0036761D" w:rsidRPr="007A2C81">
        <w:rPr>
          <w:rStyle w:val="FootnoteReference"/>
          <w:szCs w:val="24"/>
        </w:rPr>
        <w:footnoteReference w:id="43"/>
      </w:r>
      <w:r w:rsidR="00D671B6" w:rsidRPr="007A2C81">
        <w:rPr>
          <w:szCs w:val="24"/>
        </w:rPr>
        <w:t xml:space="preserve"> I see no evidence that Kripke has taken</w:t>
      </w:r>
      <w:r w:rsidRPr="007A2C81">
        <w:rPr>
          <w:szCs w:val="24"/>
        </w:rPr>
        <w:t xml:space="preserve"> a clear stand on </w:t>
      </w:r>
      <w:r w:rsidR="00D671B6" w:rsidRPr="007A2C81">
        <w:rPr>
          <w:szCs w:val="24"/>
        </w:rPr>
        <w:t>the substance issue</w:t>
      </w:r>
      <w:r w:rsidR="00980F73">
        <w:rPr>
          <w:szCs w:val="24"/>
        </w:rPr>
        <w:t xml:space="preserve"> (or the species issue)</w:t>
      </w:r>
      <w:r w:rsidR="00D671B6" w:rsidRPr="007A2C81">
        <w:rPr>
          <w:szCs w:val="24"/>
        </w:rPr>
        <w:t xml:space="preserve">. </w:t>
      </w:r>
      <w:r w:rsidRPr="007A2C81">
        <w:rPr>
          <w:szCs w:val="24"/>
        </w:rPr>
        <w:t xml:space="preserve">Nor, contrary to another critic, </w:t>
      </w:r>
      <w:proofErr w:type="spellStart"/>
      <w:r w:rsidRPr="007A2C81">
        <w:rPr>
          <w:rFonts w:cs="Times New Roman"/>
          <w:szCs w:val="24"/>
        </w:rPr>
        <w:t>Tuomas</w:t>
      </w:r>
      <w:proofErr w:type="spellEnd"/>
      <w:r w:rsidRPr="007A2C81">
        <w:rPr>
          <w:szCs w:val="24"/>
        </w:rPr>
        <w:t xml:space="preserve"> </w:t>
      </w:r>
      <w:proofErr w:type="spellStart"/>
      <w:r w:rsidRPr="007A2C81">
        <w:rPr>
          <w:szCs w:val="24"/>
        </w:rPr>
        <w:t>Tahko</w:t>
      </w:r>
      <w:proofErr w:type="spellEnd"/>
      <w:r w:rsidRPr="007A2C81">
        <w:rPr>
          <w:szCs w:val="24"/>
        </w:rPr>
        <w:t xml:space="preserve"> (2015), do I see evidence that </w:t>
      </w:r>
      <w:r w:rsidR="00D671B6" w:rsidRPr="007A2C81">
        <w:rPr>
          <w:szCs w:val="24"/>
        </w:rPr>
        <w:t xml:space="preserve">Kripke has </w:t>
      </w:r>
      <w:r w:rsidRPr="007A2C81">
        <w:rPr>
          <w:szCs w:val="24"/>
        </w:rPr>
        <w:t>taken a clear stand on what it is for water or gold to be “chemical” or “natural” kinds.</w:t>
      </w:r>
    </w:p>
    <w:p w:rsidR="008270B7" w:rsidRPr="007A2C81" w:rsidRDefault="008270B7" w:rsidP="008270B7">
      <w:pPr>
        <w:pStyle w:val="FootnoteText"/>
        <w:rPr>
          <w:sz w:val="24"/>
          <w:szCs w:val="24"/>
        </w:rPr>
      </w:pPr>
    </w:p>
    <w:p w:rsidR="003638FB" w:rsidRPr="007A2C81" w:rsidRDefault="00E56825" w:rsidP="008270B7">
      <w:pPr>
        <w:pStyle w:val="FootnoteText"/>
        <w:rPr>
          <w:b/>
          <w:sz w:val="24"/>
          <w:szCs w:val="24"/>
        </w:rPr>
      </w:pPr>
      <w:r w:rsidRPr="007A2C81">
        <w:rPr>
          <w:b/>
          <w:sz w:val="24"/>
          <w:szCs w:val="24"/>
        </w:rPr>
        <w:t>8</w:t>
      </w:r>
      <w:r w:rsidR="003638FB" w:rsidRPr="007A2C81">
        <w:rPr>
          <w:b/>
          <w:sz w:val="24"/>
          <w:szCs w:val="24"/>
        </w:rPr>
        <w:t>. Individual Essentialism</w:t>
      </w:r>
    </w:p>
    <w:p w:rsidR="007740F4" w:rsidRPr="007A2C81" w:rsidRDefault="007740F4" w:rsidP="007740F4">
      <w:pPr>
        <w:rPr>
          <w:szCs w:val="24"/>
        </w:rPr>
      </w:pPr>
    </w:p>
    <w:p w:rsidR="00C60088" w:rsidRPr="007A2C81" w:rsidRDefault="007740F4" w:rsidP="00C60088">
      <w:pPr>
        <w:rPr>
          <w:rFonts w:cs="Times New Roman"/>
          <w:spacing w:val="-3"/>
          <w:szCs w:val="24"/>
        </w:rPr>
      </w:pPr>
      <w:r w:rsidRPr="007A2C81">
        <w:rPr>
          <w:szCs w:val="24"/>
        </w:rPr>
        <w:t xml:space="preserve">What is the essence </w:t>
      </w:r>
      <w:r w:rsidR="00061C9B" w:rsidRPr="007A2C81">
        <w:rPr>
          <w:szCs w:val="24"/>
        </w:rPr>
        <w:t>of an individual? Kripke offers</w:t>
      </w:r>
      <w:r w:rsidRPr="007A2C81">
        <w:rPr>
          <w:szCs w:val="24"/>
        </w:rPr>
        <w:t xml:space="preserve"> an answer for biological individuals and some others. </w:t>
      </w:r>
      <w:r w:rsidR="00251535" w:rsidRPr="007A2C81">
        <w:rPr>
          <w:szCs w:val="24"/>
        </w:rPr>
        <w:t xml:space="preserve">That </w:t>
      </w:r>
      <w:r w:rsidR="008F7D4F" w:rsidRPr="007A2C81">
        <w:rPr>
          <w:szCs w:val="24"/>
        </w:rPr>
        <w:t xml:space="preserve">answer – his so-called “origin essentialism” - has received much attention </w:t>
      </w:r>
      <w:r w:rsidR="006B6580" w:rsidRPr="007A2C81">
        <w:rPr>
          <w:szCs w:val="24"/>
        </w:rPr>
        <w:t>from</w:t>
      </w:r>
      <w:r w:rsidR="008F7D4F" w:rsidRPr="007A2C81">
        <w:rPr>
          <w:szCs w:val="24"/>
        </w:rPr>
        <w:t xml:space="preserve"> metaphysicians</w:t>
      </w:r>
      <w:r w:rsidR="006B6580" w:rsidRPr="007A2C81">
        <w:rPr>
          <w:rFonts w:cs="Times New Roman"/>
          <w:spacing w:val="-3"/>
          <w:szCs w:val="24"/>
        </w:rPr>
        <w:t xml:space="preserve"> (</w:t>
      </w:r>
      <w:r w:rsidR="00061C9B" w:rsidRPr="007A2C81">
        <w:rPr>
          <w:rFonts w:cs="Times New Roman"/>
          <w:spacing w:val="-3"/>
          <w:szCs w:val="24"/>
        </w:rPr>
        <w:t>for example,</w:t>
      </w:r>
      <w:r w:rsidR="00B93944" w:rsidRPr="007A2C81">
        <w:rPr>
          <w:rFonts w:cs="Times New Roman"/>
          <w:spacing w:val="-3"/>
          <w:szCs w:val="24"/>
        </w:rPr>
        <w:t xml:space="preserve"> </w:t>
      </w:r>
      <w:proofErr w:type="spellStart"/>
      <w:r w:rsidR="006B6580" w:rsidRPr="007A2C81">
        <w:rPr>
          <w:rFonts w:cs="Times New Roman"/>
          <w:spacing w:val="-3"/>
          <w:szCs w:val="24"/>
        </w:rPr>
        <w:t>McGinn</w:t>
      </w:r>
      <w:proofErr w:type="spellEnd"/>
      <w:r w:rsidR="006B6580" w:rsidRPr="007A2C81">
        <w:rPr>
          <w:rFonts w:cs="Times New Roman"/>
          <w:spacing w:val="-3"/>
          <w:szCs w:val="24"/>
        </w:rPr>
        <w:t xml:space="preserve"> 1976; Salmon 1979; Forbes 1986; Robertson 1998)</w:t>
      </w:r>
      <w:r w:rsidR="008F7D4F" w:rsidRPr="007A2C81">
        <w:rPr>
          <w:szCs w:val="24"/>
        </w:rPr>
        <w:t xml:space="preserve">. </w:t>
      </w:r>
      <w:r w:rsidR="006B6580" w:rsidRPr="007A2C81">
        <w:rPr>
          <w:szCs w:val="24"/>
        </w:rPr>
        <w:t>A</w:t>
      </w:r>
      <w:r w:rsidR="008F7D4F" w:rsidRPr="007A2C81">
        <w:rPr>
          <w:szCs w:val="24"/>
        </w:rPr>
        <w:t xml:space="preserve">ttention from </w:t>
      </w:r>
      <w:r w:rsidR="00CE47BB" w:rsidRPr="007A2C81">
        <w:rPr>
          <w:szCs w:val="24"/>
        </w:rPr>
        <w:t>philosophers of biology</w:t>
      </w:r>
      <w:r w:rsidR="008F7D4F" w:rsidRPr="007A2C81">
        <w:rPr>
          <w:szCs w:val="24"/>
        </w:rPr>
        <w:t xml:space="preserve"> has been limited to</w:t>
      </w:r>
      <w:r w:rsidR="00CE47BB" w:rsidRPr="007A2C81">
        <w:rPr>
          <w:szCs w:val="24"/>
        </w:rPr>
        <w:t xml:space="preserve"> </w:t>
      </w:r>
      <w:r w:rsidR="006B6580" w:rsidRPr="007A2C81">
        <w:rPr>
          <w:szCs w:val="24"/>
        </w:rPr>
        <w:t xml:space="preserve">one significant aspect of </w:t>
      </w:r>
      <w:proofErr w:type="spellStart"/>
      <w:r w:rsidR="00CE47BB" w:rsidRPr="007A2C81">
        <w:rPr>
          <w:szCs w:val="24"/>
        </w:rPr>
        <w:t>Kripke</w:t>
      </w:r>
      <w:r w:rsidR="00295CE0" w:rsidRPr="007A2C81">
        <w:rPr>
          <w:szCs w:val="24"/>
        </w:rPr>
        <w:t>’</w:t>
      </w:r>
      <w:r w:rsidR="00CE47BB" w:rsidRPr="007A2C81">
        <w:rPr>
          <w:szCs w:val="24"/>
        </w:rPr>
        <w:t>s</w:t>
      </w:r>
      <w:proofErr w:type="spellEnd"/>
      <w:r w:rsidR="006B6580" w:rsidRPr="007A2C81">
        <w:rPr>
          <w:szCs w:val="24"/>
        </w:rPr>
        <w:t xml:space="preserve"> answer,</w:t>
      </w:r>
      <w:r w:rsidR="00CE47BB" w:rsidRPr="007A2C81">
        <w:rPr>
          <w:szCs w:val="24"/>
        </w:rPr>
        <w:t xml:space="preserve"> </w:t>
      </w:r>
      <w:r w:rsidR="008F7D4F" w:rsidRPr="007A2C81">
        <w:rPr>
          <w:szCs w:val="24"/>
        </w:rPr>
        <w:t>“</w:t>
      </w:r>
      <w:r w:rsidR="00CE47BB" w:rsidRPr="007A2C81">
        <w:rPr>
          <w:i/>
          <w:szCs w:val="24"/>
        </w:rPr>
        <w:t>Essential Membership</w:t>
      </w:r>
      <w:r w:rsidR="008F7D4F" w:rsidRPr="007A2C81">
        <w:rPr>
          <w:szCs w:val="24"/>
        </w:rPr>
        <w:t>”. This is</w:t>
      </w:r>
      <w:r w:rsidR="00CE47BB" w:rsidRPr="007A2C81">
        <w:rPr>
          <w:szCs w:val="24"/>
        </w:rPr>
        <w:t xml:space="preserve"> the doctrine that if an individual organism</w:t>
      </w:r>
      <w:r w:rsidR="00B93944" w:rsidRPr="007A2C81">
        <w:rPr>
          <w:szCs w:val="24"/>
        </w:rPr>
        <w:t xml:space="preserve"> </w:t>
      </w:r>
      <w:r w:rsidR="00B93944" w:rsidRPr="007A2C81">
        <w:rPr>
          <w:i/>
          <w:szCs w:val="24"/>
        </w:rPr>
        <w:t>O</w:t>
      </w:r>
      <w:r w:rsidR="008F7D4F" w:rsidRPr="007A2C81">
        <w:rPr>
          <w:szCs w:val="24"/>
        </w:rPr>
        <w:t xml:space="preserve"> belongs to a </w:t>
      </w:r>
      <w:proofErr w:type="spellStart"/>
      <w:r w:rsidR="008F7D4F" w:rsidRPr="007A2C81">
        <w:rPr>
          <w:szCs w:val="24"/>
        </w:rPr>
        <w:t>taxon</w:t>
      </w:r>
      <w:proofErr w:type="spellEnd"/>
      <w:r w:rsidR="008F7D4F" w:rsidRPr="007A2C81">
        <w:rPr>
          <w:szCs w:val="24"/>
        </w:rPr>
        <w:t xml:space="preserve">, particularly </w:t>
      </w:r>
      <w:r w:rsidR="006B6580" w:rsidRPr="007A2C81">
        <w:rPr>
          <w:szCs w:val="24"/>
        </w:rPr>
        <w:t xml:space="preserve">to </w:t>
      </w:r>
      <w:r w:rsidR="008F7D4F" w:rsidRPr="007A2C81">
        <w:rPr>
          <w:szCs w:val="24"/>
        </w:rPr>
        <w:t>a species, it does so</w:t>
      </w:r>
      <w:r w:rsidR="00CE47BB" w:rsidRPr="007A2C81">
        <w:rPr>
          <w:szCs w:val="24"/>
        </w:rPr>
        <w:t xml:space="preserve"> essentially.</w:t>
      </w:r>
      <w:r w:rsidR="00C60088" w:rsidRPr="007A2C81">
        <w:rPr>
          <w:szCs w:val="24"/>
        </w:rPr>
        <w:t xml:space="preserve"> Joseph LaPorte</w:t>
      </w:r>
      <w:r w:rsidR="00DB37F0" w:rsidRPr="007A2C81">
        <w:rPr>
          <w:szCs w:val="24"/>
        </w:rPr>
        <w:t>, a philosopher of biology,</w:t>
      </w:r>
      <w:r w:rsidR="00C60088" w:rsidRPr="007A2C81">
        <w:rPr>
          <w:rFonts w:cs="Times New Roman"/>
          <w:spacing w:val="-3"/>
          <w:szCs w:val="24"/>
        </w:rPr>
        <w:t xml:space="preserve"> </w:t>
      </w:r>
      <w:r w:rsidR="00251535" w:rsidRPr="007A2C81">
        <w:rPr>
          <w:rFonts w:cs="Times New Roman"/>
          <w:spacing w:val="-3"/>
          <w:szCs w:val="24"/>
        </w:rPr>
        <w:lastRenderedPageBreak/>
        <w:t>aims to approach the issue “in the light of biological systemat</w:t>
      </w:r>
      <w:r w:rsidR="00DB37F0" w:rsidRPr="007A2C81">
        <w:rPr>
          <w:rFonts w:cs="Times New Roman"/>
          <w:spacing w:val="-3"/>
          <w:szCs w:val="24"/>
        </w:rPr>
        <w:t xml:space="preserve">ics” and </w:t>
      </w:r>
      <w:r w:rsidR="00C60088" w:rsidRPr="007A2C81">
        <w:rPr>
          <w:rFonts w:cs="Times New Roman"/>
          <w:spacing w:val="-3"/>
          <w:szCs w:val="24"/>
        </w:rPr>
        <w:t>charges that “essentialists have tended to be rather naïve on scientific matters”</w:t>
      </w:r>
      <w:r w:rsidR="00DB37F0" w:rsidRPr="007A2C81">
        <w:rPr>
          <w:rFonts w:cs="Times New Roman"/>
          <w:spacing w:val="-3"/>
          <w:szCs w:val="24"/>
        </w:rPr>
        <w:t xml:space="preserve"> (1997: 97</w:t>
      </w:r>
      <w:r w:rsidR="00E1175E" w:rsidRPr="007A2C81">
        <w:rPr>
          <w:rFonts w:cs="Times New Roman"/>
          <w:spacing w:val="-3"/>
          <w:szCs w:val="24"/>
        </w:rPr>
        <w:t>)</w:t>
      </w:r>
      <w:r w:rsidR="00DB37F0" w:rsidRPr="007A2C81">
        <w:rPr>
          <w:rFonts w:cs="Times New Roman"/>
          <w:spacing w:val="-3"/>
          <w:szCs w:val="24"/>
        </w:rPr>
        <w:t xml:space="preserve">. </w:t>
      </w:r>
      <w:proofErr w:type="spellStart"/>
      <w:r w:rsidR="00DB37F0" w:rsidRPr="007A2C81">
        <w:rPr>
          <w:rFonts w:cs="Times New Roman"/>
          <w:spacing w:val="-3"/>
          <w:szCs w:val="24"/>
        </w:rPr>
        <w:t>LaPorte</w:t>
      </w:r>
      <w:r w:rsidR="00295CE0" w:rsidRPr="007A2C81">
        <w:rPr>
          <w:rFonts w:cs="Times New Roman"/>
          <w:spacing w:val="-3"/>
          <w:szCs w:val="24"/>
        </w:rPr>
        <w:t>’</w:t>
      </w:r>
      <w:r w:rsidR="00DB37F0" w:rsidRPr="007A2C81">
        <w:rPr>
          <w:rFonts w:cs="Times New Roman"/>
          <w:spacing w:val="-3"/>
          <w:szCs w:val="24"/>
        </w:rPr>
        <w:t>s</w:t>
      </w:r>
      <w:proofErr w:type="spellEnd"/>
      <w:r w:rsidR="00C60088" w:rsidRPr="007A2C81">
        <w:rPr>
          <w:rFonts w:cs="Times New Roman"/>
          <w:spacing w:val="-3"/>
          <w:szCs w:val="24"/>
        </w:rPr>
        <w:t xml:space="preserve"> approach leads him to reject </w:t>
      </w:r>
      <w:r w:rsidR="00C60088" w:rsidRPr="007A2C81">
        <w:rPr>
          <w:rFonts w:cs="Times New Roman"/>
          <w:i/>
          <w:spacing w:val="-3"/>
          <w:szCs w:val="24"/>
        </w:rPr>
        <w:t>Essential Membership</w:t>
      </w:r>
      <w:r w:rsidR="00C60088" w:rsidRPr="007A2C81">
        <w:rPr>
          <w:rFonts w:cs="Times New Roman"/>
          <w:spacing w:val="-3"/>
          <w:szCs w:val="24"/>
        </w:rPr>
        <w:t xml:space="preserve">. </w:t>
      </w:r>
      <w:proofErr w:type="spellStart"/>
      <w:r w:rsidR="00C60088" w:rsidRPr="007A2C81">
        <w:rPr>
          <w:rFonts w:cs="Times New Roman"/>
          <w:spacing w:val="-3"/>
          <w:szCs w:val="24"/>
        </w:rPr>
        <w:t>Okasha</w:t>
      </w:r>
      <w:proofErr w:type="spellEnd"/>
      <w:r w:rsidR="00C60088" w:rsidRPr="007A2C81">
        <w:rPr>
          <w:rFonts w:cs="Times New Roman"/>
          <w:spacing w:val="-3"/>
          <w:szCs w:val="24"/>
        </w:rPr>
        <w:t xml:space="preserve"> (2002) endorses </w:t>
      </w:r>
      <w:proofErr w:type="spellStart"/>
      <w:r w:rsidR="00C60088" w:rsidRPr="007A2C81">
        <w:rPr>
          <w:rFonts w:cs="Times New Roman"/>
          <w:spacing w:val="-3"/>
          <w:szCs w:val="24"/>
        </w:rPr>
        <w:t>LaPorte</w:t>
      </w:r>
      <w:r w:rsidR="00295CE0" w:rsidRPr="007A2C81">
        <w:rPr>
          <w:rFonts w:cs="Times New Roman"/>
          <w:spacing w:val="-3"/>
          <w:szCs w:val="24"/>
        </w:rPr>
        <w:t>’</w:t>
      </w:r>
      <w:r w:rsidR="00C60088" w:rsidRPr="007A2C81">
        <w:rPr>
          <w:rFonts w:cs="Times New Roman"/>
          <w:spacing w:val="-3"/>
          <w:szCs w:val="24"/>
        </w:rPr>
        <w:t>s</w:t>
      </w:r>
      <w:proofErr w:type="spellEnd"/>
      <w:r w:rsidR="00C60088" w:rsidRPr="007A2C81">
        <w:rPr>
          <w:rFonts w:cs="Times New Roman"/>
          <w:spacing w:val="-3"/>
          <w:szCs w:val="24"/>
        </w:rPr>
        <w:t xml:space="preserve"> rejection.</w:t>
      </w:r>
      <w:r w:rsidR="00C60088" w:rsidRPr="007A2C81">
        <w:rPr>
          <w:rStyle w:val="FootnoteReference"/>
          <w:rFonts w:cs="Times New Roman"/>
          <w:spacing w:val="-3"/>
          <w:szCs w:val="24"/>
        </w:rPr>
        <w:footnoteReference w:id="44"/>
      </w:r>
      <w:r w:rsidR="00C60088" w:rsidRPr="007A2C81">
        <w:rPr>
          <w:rFonts w:cs="Times New Roman"/>
          <w:spacing w:val="-3"/>
          <w:szCs w:val="24"/>
        </w:rPr>
        <w:t xml:space="preserve"> Thus, LaPorte and </w:t>
      </w:r>
      <w:proofErr w:type="spellStart"/>
      <w:r w:rsidR="00C60088" w:rsidRPr="007A2C81">
        <w:rPr>
          <w:rFonts w:cs="Times New Roman"/>
          <w:spacing w:val="-3"/>
          <w:szCs w:val="24"/>
        </w:rPr>
        <w:t>Okasha</w:t>
      </w:r>
      <w:proofErr w:type="spellEnd"/>
      <w:r w:rsidR="00C60088" w:rsidRPr="007A2C81">
        <w:rPr>
          <w:rFonts w:cs="Times New Roman"/>
          <w:spacing w:val="-3"/>
          <w:szCs w:val="24"/>
        </w:rPr>
        <w:t xml:space="preserve"> both urge, </w:t>
      </w:r>
      <w:r w:rsidR="00C60088" w:rsidRPr="007A2C81">
        <w:rPr>
          <w:rFonts w:cs="Times New Roman"/>
          <w:i/>
          <w:spacing w:val="-3"/>
          <w:szCs w:val="24"/>
        </w:rPr>
        <w:t>from a biological basis</w:t>
      </w:r>
      <w:r w:rsidR="00C60088" w:rsidRPr="007A2C81">
        <w:rPr>
          <w:rFonts w:cs="Times New Roman"/>
          <w:spacing w:val="-3"/>
          <w:szCs w:val="24"/>
        </w:rPr>
        <w:t xml:space="preserve">, a view of what is </w:t>
      </w:r>
      <w:r w:rsidR="00C60088" w:rsidRPr="007A2C81">
        <w:rPr>
          <w:rFonts w:cs="Times New Roman"/>
          <w:i/>
          <w:spacing w:val="-3"/>
          <w:szCs w:val="24"/>
        </w:rPr>
        <w:t>not</w:t>
      </w:r>
      <w:r w:rsidR="00C60088" w:rsidRPr="007A2C81">
        <w:rPr>
          <w:rFonts w:cs="Times New Roman"/>
          <w:spacing w:val="-3"/>
          <w:szCs w:val="24"/>
        </w:rPr>
        <w:t xml:space="preserve"> essential to </w:t>
      </w:r>
      <w:r w:rsidR="002D1C57" w:rsidRPr="007A2C81">
        <w:rPr>
          <w:i/>
          <w:szCs w:val="24"/>
        </w:rPr>
        <w:t>O</w:t>
      </w:r>
      <w:r w:rsidR="00C60088" w:rsidRPr="007A2C81">
        <w:rPr>
          <w:rFonts w:cs="Times New Roman"/>
          <w:spacing w:val="-3"/>
          <w:szCs w:val="24"/>
        </w:rPr>
        <w:t xml:space="preserve">. But neither they nor, so far as I can discover, any other philosopher of biology or any biologist, have seriously addressed the issue, broader than </w:t>
      </w:r>
      <w:r w:rsidR="00C60088" w:rsidRPr="007A2C81">
        <w:rPr>
          <w:rFonts w:cs="Times New Roman"/>
          <w:i/>
          <w:spacing w:val="-3"/>
          <w:szCs w:val="24"/>
        </w:rPr>
        <w:t>Essential Membership</w:t>
      </w:r>
      <w:r w:rsidR="00C60088" w:rsidRPr="007A2C81">
        <w:rPr>
          <w:rFonts w:cs="Times New Roman"/>
          <w:spacing w:val="-3"/>
          <w:szCs w:val="24"/>
        </w:rPr>
        <w:t xml:space="preserve">, of what </w:t>
      </w:r>
      <w:r w:rsidR="00C60088" w:rsidRPr="007A2C81">
        <w:rPr>
          <w:rFonts w:cs="Times New Roman"/>
          <w:i/>
          <w:spacing w:val="-3"/>
          <w:szCs w:val="24"/>
        </w:rPr>
        <w:t>is</w:t>
      </w:r>
      <w:r w:rsidR="00C60088" w:rsidRPr="007A2C81">
        <w:rPr>
          <w:rFonts w:cs="Times New Roman"/>
          <w:spacing w:val="-3"/>
          <w:szCs w:val="24"/>
        </w:rPr>
        <w:t xml:space="preserve"> essential to </w:t>
      </w:r>
      <w:r w:rsidR="002D1C57" w:rsidRPr="007A2C81">
        <w:rPr>
          <w:i/>
          <w:szCs w:val="24"/>
        </w:rPr>
        <w:t>O</w:t>
      </w:r>
      <w:r w:rsidR="00C60088" w:rsidRPr="007A2C81">
        <w:rPr>
          <w:rFonts w:cs="Times New Roman"/>
          <w:spacing w:val="-3"/>
          <w:szCs w:val="24"/>
        </w:rPr>
        <w:t>. It seems that this issue, much discussed by metaphysicians, has entirely escaped the attention of philosophers of biology. I have r</w:t>
      </w:r>
      <w:r w:rsidR="00E1175E" w:rsidRPr="007A2C81">
        <w:rPr>
          <w:rFonts w:cs="Times New Roman"/>
          <w:spacing w:val="-3"/>
          <w:szCs w:val="24"/>
        </w:rPr>
        <w:t>ecently given it some attention, also from a biological basis (2018b).</w:t>
      </w:r>
    </w:p>
    <w:p w:rsidR="00C60088" w:rsidRPr="007A2C81" w:rsidRDefault="00C60088" w:rsidP="007740F4">
      <w:pPr>
        <w:rPr>
          <w:szCs w:val="24"/>
        </w:rPr>
      </w:pPr>
    </w:p>
    <w:p w:rsidR="007740F4" w:rsidRPr="007A2C81" w:rsidRDefault="007740F4" w:rsidP="007740F4">
      <w:pPr>
        <w:rPr>
          <w:szCs w:val="24"/>
        </w:rPr>
      </w:pPr>
      <w:r w:rsidRPr="007A2C81">
        <w:rPr>
          <w:szCs w:val="24"/>
        </w:rPr>
        <w:tab/>
        <w:t>Considering one particular organism, Kripke famously asked: “could the Queen…have been born of different parents from the parents from whom she actually came?” Taking her parents to be “the people whose body tissues are sources of the biological sperm and egg” that led to the Queen</w:t>
      </w:r>
      <w:r w:rsidR="008F7D4F" w:rsidRPr="007A2C81">
        <w:rPr>
          <w:szCs w:val="24"/>
        </w:rPr>
        <w:t xml:space="preserve"> (</w:t>
      </w:r>
      <w:r w:rsidRPr="007A2C81">
        <w:rPr>
          <w:szCs w:val="24"/>
        </w:rPr>
        <w:t xml:space="preserve">112), Kripke answers in the negative: “anything coming from a different origin would not be this object” (113). He moves on to raise a similar question about a particular table: “could </w:t>
      </w:r>
      <w:r w:rsidRPr="007A2C81">
        <w:rPr>
          <w:i/>
          <w:szCs w:val="24"/>
        </w:rPr>
        <w:t>this table</w:t>
      </w:r>
      <w:r w:rsidRPr="007A2C81">
        <w:rPr>
          <w:szCs w:val="24"/>
        </w:rPr>
        <w:t xml:space="preserve"> been made from a completely </w:t>
      </w:r>
      <w:r w:rsidRPr="007A2C81">
        <w:rPr>
          <w:i/>
          <w:szCs w:val="24"/>
        </w:rPr>
        <w:t>different</w:t>
      </w:r>
      <w:r w:rsidRPr="007A2C81">
        <w:rPr>
          <w:szCs w:val="24"/>
        </w:rPr>
        <w:t xml:space="preserve"> block of wood, or even of water cleverly hardened into ice…? (113). Once again he answers in the negative (114). So he is urging “the principle that the </w:t>
      </w:r>
      <w:r w:rsidRPr="007A2C81">
        <w:rPr>
          <w:i/>
          <w:szCs w:val="24"/>
        </w:rPr>
        <w:t>origin</w:t>
      </w:r>
      <w:r w:rsidRPr="007A2C81">
        <w:rPr>
          <w:szCs w:val="24"/>
        </w:rPr>
        <w:t xml:space="preserve"> of an object is essential to it” (114 n. 57). What about the principle “that the </w:t>
      </w:r>
      <w:r w:rsidRPr="007A2C81">
        <w:rPr>
          <w:i/>
          <w:szCs w:val="24"/>
        </w:rPr>
        <w:t>substance</w:t>
      </w:r>
      <w:r w:rsidRPr="007A2C81">
        <w:rPr>
          <w:szCs w:val="24"/>
        </w:rPr>
        <w:t xml:space="preserve"> of which it is made is essential”? Kripke accepts this principle too: the wooden table in question could not “have been made of anything other than wood” (114-5, n. 57). Finally, Kripke notes a relationship between the two principles. Supposing, as Kripke does, that it is essential to the block from which the table was made that it was a block of </w:t>
      </w:r>
      <w:r w:rsidRPr="007A2C81">
        <w:rPr>
          <w:i/>
          <w:szCs w:val="24"/>
        </w:rPr>
        <w:t>wood</w:t>
      </w:r>
      <w:r w:rsidRPr="007A2C81">
        <w:rPr>
          <w:szCs w:val="24"/>
        </w:rPr>
        <w:t>, then it follows from the origin principle that it is essential to the table that it is mad</w:t>
      </w:r>
      <w:r w:rsidR="00C76393" w:rsidRPr="007A2C81">
        <w:rPr>
          <w:szCs w:val="24"/>
        </w:rPr>
        <w:t>e of wood (</w:t>
      </w:r>
      <w:r w:rsidRPr="007A2C81">
        <w:rPr>
          <w:szCs w:val="24"/>
        </w:rPr>
        <w:t>115, n. 57).</w:t>
      </w:r>
      <w:r w:rsidRPr="007A2C81">
        <w:rPr>
          <w:rStyle w:val="FootnoteReference"/>
          <w:szCs w:val="24"/>
        </w:rPr>
        <w:footnoteReference w:id="45"/>
      </w:r>
    </w:p>
    <w:p w:rsidR="007740F4" w:rsidRPr="007A2C81" w:rsidRDefault="007740F4" w:rsidP="007740F4">
      <w:pPr>
        <w:rPr>
          <w:szCs w:val="24"/>
        </w:rPr>
      </w:pPr>
    </w:p>
    <w:p w:rsidR="007740F4" w:rsidRPr="007A2C81" w:rsidRDefault="007740F4" w:rsidP="007740F4">
      <w:pPr>
        <w:rPr>
          <w:szCs w:val="24"/>
        </w:rPr>
      </w:pPr>
      <w:r w:rsidRPr="007A2C81">
        <w:rPr>
          <w:szCs w:val="24"/>
        </w:rPr>
        <w:tab/>
        <w:t>According to the origin principle</w:t>
      </w:r>
      <w:r w:rsidR="00204CA3" w:rsidRPr="007A2C81">
        <w:rPr>
          <w:szCs w:val="24"/>
        </w:rPr>
        <w:t>,</w:t>
      </w:r>
      <w:r w:rsidRPr="007A2C81">
        <w:rPr>
          <w:szCs w:val="24"/>
        </w:rPr>
        <w:t xml:space="preserve"> it is essential to the Queen that she came from certain parents and from certain gametes. Those gametes united to form a zygote. According to the origin principle it is also essential that the Queen came from that particular zygote. What we have said about the Queen applies, of course, to her parents, their parents, and so on. So the</w:t>
      </w:r>
      <w:r w:rsidR="00E1175E" w:rsidRPr="007A2C81">
        <w:rPr>
          <w:szCs w:val="24"/>
        </w:rPr>
        <w:t>re is a</w:t>
      </w:r>
      <w:r w:rsidRPr="007A2C81">
        <w:rPr>
          <w:szCs w:val="24"/>
        </w:rPr>
        <w:t xml:space="preserve"> historical component </w:t>
      </w:r>
      <w:r w:rsidR="00E1175E" w:rsidRPr="007A2C81">
        <w:rPr>
          <w:szCs w:val="24"/>
        </w:rPr>
        <w:t>to</w:t>
      </w:r>
      <w:r w:rsidR="002D1C57" w:rsidRPr="007A2C81">
        <w:rPr>
          <w:szCs w:val="24"/>
        </w:rPr>
        <w:t xml:space="preserve"> </w:t>
      </w:r>
      <w:r w:rsidR="002D1C57" w:rsidRPr="007A2C81">
        <w:rPr>
          <w:i/>
          <w:szCs w:val="24"/>
        </w:rPr>
        <w:t>O</w:t>
      </w:r>
      <w:r w:rsidR="00295CE0" w:rsidRPr="007A2C81">
        <w:rPr>
          <w:szCs w:val="24"/>
        </w:rPr>
        <w:t>’</w:t>
      </w:r>
      <w:r w:rsidR="00B93944" w:rsidRPr="007A2C81">
        <w:rPr>
          <w:szCs w:val="24"/>
        </w:rPr>
        <w:t>s essence</w:t>
      </w:r>
      <w:r w:rsidRPr="007A2C81">
        <w:rPr>
          <w:szCs w:val="24"/>
        </w:rPr>
        <w:t xml:space="preserve"> constituted by the actual individual people, gametes, and zygotes that make up that ancestral history, that family tree.</w:t>
      </w:r>
    </w:p>
    <w:p w:rsidR="007740F4" w:rsidRPr="007A2C81" w:rsidRDefault="007740F4" w:rsidP="007740F4">
      <w:pPr>
        <w:rPr>
          <w:szCs w:val="24"/>
        </w:rPr>
      </w:pPr>
    </w:p>
    <w:p w:rsidR="007740F4" w:rsidRDefault="007740F4" w:rsidP="007740F4">
      <w:pPr>
        <w:ind w:firstLine="720"/>
        <w:rPr>
          <w:szCs w:val="24"/>
        </w:rPr>
      </w:pPr>
      <w:r w:rsidRPr="007A2C81">
        <w:rPr>
          <w:szCs w:val="24"/>
        </w:rPr>
        <w:t xml:space="preserve"> Kripke does not apply the substance principle to the Queen but we can do so. Just as the table must come from a block that is essentially wooden material, the Queen must come from a zygote that is essentially human material</w:t>
      </w:r>
      <w:r w:rsidR="00E1175E" w:rsidRPr="007A2C81">
        <w:rPr>
          <w:szCs w:val="24"/>
        </w:rPr>
        <w:t>.</w:t>
      </w:r>
      <w:r w:rsidR="00061C9B" w:rsidRPr="007A2C81">
        <w:rPr>
          <w:szCs w:val="24"/>
        </w:rPr>
        <w:t xml:space="preserve"> In</w:t>
      </w:r>
      <w:r w:rsidRPr="007A2C81">
        <w:rPr>
          <w:szCs w:val="24"/>
        </w:rPr>
        <w:t xml:space="preserve"> the spirit if not the letter of Kripke, we should surely go further with the substance of the Queen: what is essential to her zygote, hence to the Queen herself, is not simply that the zygote is constituted of human material of </w:t>
      </w:r>
      <w:r w:rsidRPr="007A2C81">
        <w:rPr>
          <w:i/>
          <w:szCs w:val="24"/>
        </w:rPr>
        <w:t>some sort</w:t>
      </w:r>
      <w:r w:rsidRPr="007A2C81">
        <w:rPr>
          <w:szCs w:val="24"/>
        </w:rPr>
        <w:t xml:space="preserve"> but of</w:t>
      </w:r>
      <w:r w:rsidRPr="007A2C81">
        <w:rPr>
          <w:i/>
          <w:szCs w:val="24"/>
        </w:rPr>
        <w:t xml:space="preserve"> the particular sort in that zygote</w:t>
      </w:r>
      <w:r w:rsidRPr="007A2C81">
        <w:rPr>
          <w:szCs w:val="24"/>
        </w:rPr>
        <w:t xml:space="preserve">. So, we have the </w:t>
      </w:r>
      <w:proofErr w:type="spellStart"/>
      <w:r w:rsidRPr="007A2C81">
        <w:rPr>
          <w:szCs w:val="24"/>
        </w:rPr>
        <w:t>Kripkean</w:t>
      </w:r>
      <w:proofErr w:type="spellEnd"/>
      <w:r w:rsidRPr="007A2C81">
        <w:rPr>
          <w:szCs w:val="24"/>
        </w:rPr>
        <w:t xml:space="preserve"> proposal that</w:t>
      </w:r>
      <w:r w:rsidR="00B93944" w:rsidRPr="007A2C81">
        <w:rPr>
          <w:szCs w:val="24"/>
        </w:rPr>
        <w:t xml:space="preserve"> the essence of </w:t>
      </w:r>
      <w:r w:rsidR="002D1C57" w:rsidRPr="007A2C81">
        <w:rPr>
          <w:i/>
          <w:szCs w:val="24"/>
        </w:rPr>
        <w:t>O</w:t>
      </w:r>
      <w:r w:rsidR="002D1C57" w:rsidRPr="007A2C81">
        <w:rPr>
          <w:szCs w:val="24"/>
        </w:rPr>
        <w:t xml:space="preserve"> </w:t>
      </w:r>
      <w:r w:rsidRPr="007A2C81">
        <w:rPr>
          <w:szCs w:val="24"/>
        </w:rPr>
        <w:t xml:space="preserve">is partly </w:t>
      </w:r>
      <w:r w:rsidRPr="007A2C81">
        <w:rPr>
          <w:i/>
          <w:szCs w:val="24"/>
        </w:rPr>
        <w:t>O</w:t>
      </w:r>
      <w:r w:rsidR="00295CE0" w:rsidRPr="007A2C81">
        <w:rPr>
          <w:szCs w:val="24"/>
        </w:rPr>
        <w:t>’</w:t>
      </w:r>
      <w:r w:rsidRPr="007A2C81">
        <w:rPr>
          <w:szCs w:val="24"/>
        </w:rPr>
        <w:t xml:space="preserve">s origin in a certain zygote formed from certain gametes, hence from certain parents, and </w:t>
      </w:r>
      <w:r w:rsidRPr="007A2C81">
        <w:rPr>
          <w:szCs w:val="24"/>
        </w:rPr>
        <w:lastRenderedPageBreak/>
        <w:t xml:space="preserve">partly intrinsic properties of </w:t>
      </w:r>
      <w:r w:rsidRPr="007A2C81">
        <w:rPr>
          <w:i/>
          <w:szCs w:val="24"/>
        </w:rPr>
        <w:t>O</w:t>
      </w:r>
      <w:r w:rsidR="00295CE0" w:rsidRPr="007A2C81">
        <w:rPr>
          <w:szCs w:val="24"/>
        </w:rPr>
        <w:t>’</w:t>
      </w:r>
      <w:r w:rsidRPr="007A2C81">
        <w:rPr>
          <w:szCs w:val="24"/>
        </w:rPr>
        <w:t>s zygote.</w:t>
      </w:r>
      <w:r w:rsidRPr="007A2C81">
        <w:rPr>
          <w:rStyle w:val="FootnoteReference"/>
          <w:szCs w:val="24"/>
        </w:rPr>
        <w:footnoteReference w:id="46"/>
      </w:r>
      <w:r w:rsidRPr="007A2C81">
        <w:rPr>
          <w:szCs w:val="24"/>
        </w:rPr>
        <w:t xml:space="preserve"> So, on this proposal,</w:t>
      </w:r>
      <w:r w:rsidR="002D1C57" w:rsidRPr="007A2C81">
        <w:rPr>
          <w:szCs w:val="24"/>
        </w:rPr>
        <w:t xml:space="preserve"> the essence of </w:t>
      </w:r>
      <w:r w:rsidR="002D1C57" w:rsidRPr="007A2C81">
        <w:rPr>
          <w:i/>
          <w:szCs w:val="24"/>
        </w:rPr>
        <w:t>O</w:t>
      </w:r>
      <w:r w:rsidR="002D1C57" w:rsidRPr="007A2C81">
        <w:rPr>
          <w:szCs w:val="24"/>
        </w:rPr>
        <w:t>, like</w:t>
      </w:r>
      <w:r w:rsidR="002D5268" w:rsidRPr="007A2C81">
        <w:rPr>
          <w:szCs w:val="24"/>
        </w:rPr>
        <w:t xml:space="preserve"> the essence of its </w:t>
      </w:r>
      <w:r w:rsidR="005F36E8">
        <w:rPr>
          <w:szCs w:val="24"/>
        </w:rPr>
        <w:t>species proposed in section 6,</w:t>
      </w:r>
      <w:r w:rsidRPr="007A2C81">
        <w:rPr>
          <w:szCs w:val="24"/>
        </w:rPr>
        <w:t xml:space="preserve"> has both an historical component and an intrinsic one.</w:t>
      </w:r>
    </w:p>
    <w:p w:rsidR="008613BF" w:rsidRDefault="008613BF" w:rsidP="007740F4">
      <w:pPr>
        <w:ind w:firstLine="720"/>
        <w:rPr>
          <w:szCs w:val="24"/>
        </w:rPr>
      </w:pPr>
    </w:p>
    <w:p w:rsidR="008613BF" w:rsidRDefault="005A7A98" w:rsidP="007740F4">
      <w:pPr>
        <w:ind w:firstLine="720"/>
        <w:rPr>
          <w:szCs w:val="24"/>
        </w:rPr>
      </w:pPr>
      <w:r>
        <w:rPr>
          <w:szCs w:val="24"/>
        </w:rPr>
        <w:t>C</w:t>
      </w:r>
      <w:r w:rsidR="005F36E8">
        <w:rPr>
          <w:szCs w:val="24"/>
        </w:rPr>
        <w:t>ombining these two proposals, one about</w:t>
      </w:r>
      <w:r w:rsidR="008613BF">
        <w:rPr>
          <w:szCs w:val="24"/>
        </w:rPr>
        <w:t xml:space="preserve"> the individual essence of </w:t>
      </w:r>
      <w:r w:rsidR="008613BF" w:rsidRPr="005A7A98">
        <w:rPr>
          <w:i/>
          <w:szCs w:val="24"/>
        </w:rPr>
        <w:t>O</w:t>
      </w:r>
      <w:r w:rsidR="005F36E8">
        <w:rPr>
          <w:szCs w:val="24"/>
        </w:rPr>
        <w:t>, one about the kind essence of its species,</w:t>
      </w:r>
      <w:r>
        <w:rPr>
          <w:szCs w:val="24"/>
        </w:rPr>
        <w:t xml:space="preserve"> </w:t>
      </w:r>
      <w:r w:rsidR="005F36E8">
        <w:rPr>
          <w:szCs w:val="24"/>
        </w:rPr>
        <w:t>I have argued (2018b)</w:t>
      </w:r>
      <w:r>
        <w:rPr>
          <w:szCs w:val="24"/>
        </w:rPr>
        <w:t xml:space="preserve"> for </w:t>
      </w:r>
      <w:r w:rsidRPr="005A7A98">
        <w:rPr>
          <w:i/>
          <w:szCs w:val="24"/>
        </w:rPr>
        <w:t>Essential Membership</w:t>
      </w:r>
      <w:r w:rsidR="005F36E8">
        <w:rPr>
          <w:szCs w:val="24"/>
        </w:rPr>
        <w:t xml:space="preserve"> (it’s not hard):</w:t>
      </w:r>
      <w:r>
        <w:rPr>
          <w:szCs w:val="24"/>
        </w:rPr>
        <w:t xml:space="preserve"> having the historical and intrinsic component</w:t>
      </w:r>
      <w:r w:rsidR="004C7646">
        <w:rPr>
          <w:szCs w:val="24"/>
        </w:rPr>
        <w:t>s</w:t>
      </w:r>
      <w:r>
        <w:rPr>
          <w:szCs w:val="24"/>
        </w:rPr>
        <w:t xml:space="preserve"> of</w:t>
      </w:r>
      <w:r w:rsidR="005F36E8">
        <w:rPr>
          <w:szCs w:val="24"/>
        </w:rPr>
        <w:t xml:space="preserve"> the essence of</w:t>
      </w:r>
      <w:r>
        <w:rPr>
          <w:szCs w:val="24"/>
        </w:rPr>
        <w:t xml:space="preserve"> O entails having the historical and intrinsic components of the essence of O’s species</w:t>
      </w:r>
      <w:r w:rsidR="004C7646">
        <w:rPr>
          <w:szCs w:val="24"/>
        </w:rPr>
        <w:t xml:space="preserve"> (2018b)</w:t>
      </w:r>
      <w:r>
        <w:rPr>
          <w:szCs w:val="24"/>
        </w:rPr>
        <w:t>.</w:t>
      </w:r>
    </w:p>
    <w:p w:rsidR="004C7646" w:rsidRPr="007A2C81" w:rsidRDefault="004C7646" w:rsidP="007740F4">
      <w:pPr>
        <w:ind w:firstLine="720"/>
        <w:rPr>
          <w:szCs w:val="24"/>
        </w:rPr>
      </w:pPr>
    </w:p>
    <w:p w:rsidR="001224E9" w:rsidRPr="007A2C81" w:rsidRDefault="007740F4" w:rsidP="00E33557">
      <w:pPr>
        <w:ind w:firstLine="720"/>
        <w:rPr>
          <w:szCs w:val="24"/>
        </w:rPr>
      </w:pPr>
      <w:r w:rsidRPr="007A2C81">
        <w:rPr>
          <w:szCs w:val="24"/>
        </w:rPr>
        <w:t xml:space="preserve">The support for </w:t>
      </w:r>
      <w:proofErr w:type="spellStart"/>
      <w:r w:rsidR="004C7646">
        <w:rPr>
          <w:szCs w:val="24"/>
        </w:rPr>
        <w:t>Kripkean</w:t>
      </w:r>
      <w:proofErr w:type="spellEnd"/>
      <w:r w:rsidR="004C7646">
        <w:rPr>
          <w:szCs w:val="24"/>
        </w:rPr>
        <w:t xml:space="preserve"> individual essentialism</w:t>
      </w:r>
      <w:r w:rsidRPr="007A2C81">
        <w:rPr>
          <w:szCs w:val="24"/>
        </w:rPr>
        <w:t xml:space="preserve"> has come</w:t>
      </w:r>
      <w:r w:rsidR="004C7646">
        <w:rPr>
          <w:szCs w:val="24"/>
        </w:rPr>
        <w:t xml:space="preserve"> so far</w:t>
      </w:r>
      <w:r w:rsidRPr="007A2C81">
        <w:rPr>
          <w:szCs w:val="24"/>
        </w:rPr>
        <w:t xml:space="preserve"> from intuitions. This raises a methodological question. </w:t>
      </w:r>
      <w:proofErr w:type="spellStart"/>
      <w:r w:rsidRPr="007A2C81">
        <w:rPr>
          <w:szCs w:val="24"/>
        </w:rPr>
        <w:t>Okasha</w:t>
      </w:r>
      <w:proofErr w:type="spellEnd"/>
      <w:r w:rsidRPr="007A2C81">
        <w:rPr>
          <w:szCs w:val="24"/>
        </w:rPr>
        <w:t xml:space="preserve"> claims that it is “widely held” that “claims about individual essence”, unlike those about “kind essence”, “are not responsible to empirical science”; they are matters “for the armchair metaphysician” to be handled by “consulting… modal intuitions” (2002, p. 193). </w:t>
      </w:r>
      <w:r w:rsidR="00E33557" w:rsidRPr="007A2C81">
        <w:rPr>
          <w:szCs w:val="24"/>
        </w:rPr>
        <w:t xml:space="preserve">In a moment I shall </w:t>
      </w:r>
      <w:r w:rsidR="002146D1" w:rsidRPr="007A2C81">
        <w:rPr>
          <w:szCs w:val="24"/>
        </w:rPr>
        <w:t xml:space="preserve">very </w:t>
      </w:r>
      <w:r w:rsidR="00E33557" w:rsidRPr="007A2C81">
        <w:rPr>
          <w:szCs w:val="24"/>
        </w:rPr>
        <w:t xml:space="preserve">briefly describe an argument that shows that </w:t>
      </w:r>
      <w:proofErr w:type="spellStart"/>
      <w:r w:rsidR="00E33557" w:rsidRPr="007A2C81">
        <w:rPr>
          <w:szCs w:val="24"/>
        </w:rPr>
        <w:t>Kripke</w:t>
      </w:r>
      <w:r w:rsidR="00295CE0" w:rsidRPr="007A2C81">
        <w:rPr>
          <w:szCs w:val="24"/>
        </w:rPr>
        <w:t>’</w:t>
      </w:r>
      <w:r w:rsidR="00E33557" w:rsidRPr="007A2C81">
        <w:rPr>
          <w:szCs w:val="24"/>
        </w:rPr>
        <w:t>s</w:t>
      </w:r>
      <w:proofErr w:type="spellEnd"/>
      <w:r w:rsidR="00E33557" w:rsidRPr="007A2C81">
        <w:rPr>
          <w:szCs w:val="24"/>
        </w:rPr>
        <w:t xml:space="preserve"> individual essentialism is also “responsible to empirical science”.</w:t>
      </w:r>
      <w:r w:rsidR="001224E9" w:rsidRPr="007A2C81">
        <w:rPr>
          <w:szCs w:val="24"/>
        </w:rPr>
        <w:t xml:space="preserve"> </w:t>
      </w:r>
      <w:r w:rsidR="00E33557" w:rsidRPr="007A2C81">
        <w:rPr>
          <w:szCs w:val="24"/>
        </w:rPr>
        <w:t>This is just as well</w:t>
      </w:r>
      <w:r w:rsidRPr="007A2C81">
        <w:rPr>
          <w:szCs w:val="24"/>
        </w:rPr>
        <w:t xml:space="preserve"> because</w:t>
      </w:r>
      <w:r w:rsidR="001224E9" w:rsidRPr="007A2C81">
        <w:rPr>
          <w:szCs w:val="24"/>
        </w:rPr>
        <w:t xml:space="preserve">, as already noted, LaPorte and other philosophers of biology reject </w:t>
      </w:r>
      <w:r w:rsidR="001224E9" w:rsidRPr="007A2C81">
        <w:rPr>
          <w:i/>
          <w:szCs w:val="24"/>
        </w:rPr>
        <w:t>Essential Membership</w:t>
      </w:r>
      <w:r w:rsidR="001224E9" w:rsidRPr="007A2C81">
        <w:rPr>
          <w:szCs w:val="24"/>
        </w:rPr>
        <w:t xml:space="preserve"> on biological grounds. Furthermore, some</w:t>
      </w:r>
      <w:r w:rsidR="00E33557" w:rsidRPr="007A2C81">
        <w:rPr>
          <w:szCs w:val="24"/>
        </w:rPr>
        <w:t xml:space="preserve"> of </w:t>
      </w:r>
      <w:proofErr w:type="spellStart"/>
      <w:r w:rsidR="00E33557" w:rsidRPr="007A2C81">
        <w:rPr>
          <w:szCs w:val="24"/>
        </w:rPr>
        <w:t>Kripke</w:t>
      </w:r>
      <w:r w:rsidR="00295CE0" w:rsidRPr="007A2C81">
        <w:rPr>
          <w:szCs w:val="24"/>
        </w:rPr>
        <w:t>’</w:t>
      </w:r>
      <w:r w:rsidR="00E33557" w:rsidRPr="007A2C81">
        <w:rPr>
          <w:szCs w:val="24"/>
        </w:rPr>
        <w:t>s</w:t>
      </w:r>
      <w:proofErr w:type="spellEnd"/>
      <w:r w:rsidRPr="007A2C81">
        <w:rPr>
          <w:szCs w:val="24"/>
        </w:rPr>
        <w:t xml:space="preserve"> </w:t>
      </w:r>
      <w:r w:rsidR="001224E9" w:rsidRPr="007A2C81">
        <w:rPr>
          <w:szCs w:val="24"/>
        </w:rPr>
        <w:t xml:space="preserve">essentialist </w:t>
      </w:r>
      <w:r w:rsidRPr="007A2C81">
        <w:rPr>
          <w:szCs w:val="24"/>
        </w:rPr>
        <w:t>intuitions are not shared by</w:t>
      </w:r>
      <w:r w:rsidR="001224E9" w:rsidRPr="007A2C81">
        <w:rPr>
          <w:szCs w:val="24"/>
        </w:rPr>
        <w:t xml:space="preserve"> all metaphysicians.</w:t>
      </w:r>
    </w:p>
    <w:p w:rsidR="001224E9" w:rsidRPr="007A2C81" w:rsidRDefault="001224E9" w:rsidP="00E33557">
      <w:pPr>
        <w:ind w:firstLine="720"/>
        <w:rPr>
          <w:szCs w:val="24"/>
        </w:rPr>
      </w:pPr>
    </w:p>
    <w:p w:rsidR="00C76393" w:rsidRPr="007A2C81" w:rsidRDefault="001224E9" w:rsidP="00E33557">
      <w:pPr>
        <w:ind w:firstLine="720"/>
        <w:rPr>
          <w:szCs w:val="24"/>
        </w:rPr>
      </w:pPr>
      <w:r w:rsidRPr="007A2C81">
        <w:rPr>
          <w:szCs w:val="24"/>
        </w:rPr>
        <w:t>The</w:t>
      </w:r>
      <w:r w:rsidR="007740F4" w:rsidRPr="007A2C81">
        <w:rPr>
          <w:szCs w:val="24"/>
        </w:rPr>
        <w:t xml:space="preserve"> influential </w:t>
      </w:r>
      <w:r w:rsidR="002146D1" w:rsidRPr="007A2C81">
        <w:rPr>
          <w:szCs w:val="24"/>
        </w:rPr>
        <w:t>metaphysicians</w:t>
      </w:r>
      <w:r w:rsidR="002C67FB" w:rsidRPr="007A2C81">
        <w:rPr>
          <w:spacing w:val="-3"/>
          <w:szCs w:val="24"/>
        </w:rPr>
        <w:t xml:space="preserve">, </w:t>
      </w:r>
      <w:r w:rsidR="00C76393" w:rsidRPr="007A2C81">
        <w:rPr>
          <w:szCs w:val="24"/>
        </w:rPr>
        <w:t xml:space="preserve">Graeme Forbes (1986) and Teresa Robertson (1998), </w:t>
      </w:r>
      <w:r w:rsidR="00732D72" w:rsidRPr="007A2C81">
        <w:rPr>
          <w:szCs w:val="24"/>
        </w:rPr>
        <w:t>agree only partly</w:t>
      </w:r>
      <w:r w:rsidR="00204CA3" w:rsidRPr="007A2C81">
        <w:rPr>
          <w:szCs w:val="24"/>
        </w:rPr>
        <w:t xml:space="preserve"> with Kripke</w:t>
      </w:r>
      <w:r w:rsidR="00E33557" w:rsidRPr="007A2C81">
        <w:rPr>
          <w:szCs w:val="24"/>
        </w:rPr>
        <w:t xml:space="preserve"> about the historical component</w:t>
      </w:r>
      <w:r w:rsidR="008D30DD" w:rsidRPr="007A2C81">
        <w:rPr>
          <w:szCs w:val="24"/>
        </w:rPr>
        <w:t xml:space="preserve"> of his essentialism</w:t>
      </w:r>
      <w:r w:rsidR="00E33557" w:rsidRPr="007A2C81">
        <w:rPr>
          <w:szCs w:val="24"/>
        </w:rPr>
        <w:t>.</w:t>
      </w:r>
      <w:r w:rsidR="00C76393" w:rsidRPr="007A2C81">
        <w:rPr>
          <w:szCs w:val="24"/>
        </w:rPr>
        <w:t xml:space="preserve"> On </w:t>
      </w:r>
      <w:r w:rsidR="00665C14" w:rsidRPr="007A2C81">
        <w:rPr>
          <w:szCs w:val="24"/>
        </w:rPr>
        <w:t>the</w:t>
      </w:r>
      <w:r w:rsidR="00C76393" w:rsidRPr="007A2C81">
        <w:rPr>
          <w:szCs w:val="24"/>
        </w:rPr>
        <w:t xml:space="preserve"> </w:t>
      </w:r>
      <w:proofErr w:type="spellStart"/>
      <w:r w:rsidR="00C76393" w:rsidRPr="007A2C81">
        <w:rPr>
          <w:szCs w:val="24"/>
        </w:rPr>
        <w:t>Kripkean</w:t>
      </w:r>
      <w:proofErr w:type="spellEnd"/>
      <w:r w:rsidR="00C76393" w:rsidRPr="007A2C81">
        <w:rPr>
          <w:szCs w:val="24"/>
        </w:rPr>
        <w:t xml:space="preserve"> view</w:t>
      </w:r>
      <w:r w:rsidR="00665C14" w:rsidRPr="007A2C81">
        <w:rPr>
          <w:szCs w:val="24"/>
        </w:rPr>
        <w:t xml:space="preserve"> I have presented</w:t>
      </w:r>
      <w:r w:rsidR="00C76393" w:rsidRPr="007A2C81">
        <w:rPr>
          <w:szCs w:val="24"/>
        </w:rPr>
        <w:t xml:space="preserve">, </w:t>
      </w:r>
      <w:r w:rsidR="009B6C49">
        <w:rPr>
          <w:szCs w:val="24"/>
        </w:rPr>
        <w:t xml:space="preserve">at least </w:t>
      </w:r>
      <w:r w:rsidR="00C76393" w:rsidRPr="007A2C81">
        <w:rPr>
          <w:szCs w:val="24"/>
        </w:rPr>
        <w:t>three relations are essential to the Queen: (a) she must come from a certain zygote; (b) that zygote must come from certain gametes; (c) those gametes must come from certain parents. Forbes and Robertson do not resist (a) but their modal intuitions count against (b) and (c). Forbes argues as follows:</w:t>
      </w:r>
    </w:p>
    <w:p w:rsidR="00C76393" w:rsidRPr="007A2C81" w:rsidRDefault="00C76393" w:rsidP="00C76393">
      <w:pPr>
        <w:rPr>
          <w:szCs w:val="24"/>
        </w:rPr>
      </w:pPr>
    </w:p>
    <w:p w:rsidR="00C76393" w:rsidRPr="007A2C81" w:rsidRDefault="00C76393" w:rsidP="00C76393">
      <w:pPr>
        <w:ind w:left="720"/>
        <w:rPr>
          <w:szCs w:val="24"/>
        </w:rPr>
      </w:pPr>
      <w:r w:rsidRPr="007A2C81">
        <w:rPr>
          <w:szCs w:val="24"/>
        </w:rPr>
        <w:t xml:space="preserve">Suppose </w:t>
      </w:r>
      <w:r w:rsidRPr="007A2C81">
        <w:rPr>
          <w:i/>
          <w:szCs w:val="24"/>
        </w:rPr>
        <w:t>z</w:t>
      </w:r>
      <w:r w:rsidRPr="007A2C81">
        <w:rPr>
          <w:szCs w:val="24"/>
        </w:rPr>
        <w:t xml:space="preserve"> is a human zygote that is formed by fusion of a sperm </w:t>
      </w:r>
      <w:r w:rsidRPr="007A2C81">
        <w:rPr>
          <w:i/>
          <w:szCs w:val="24"/>
        </w:rPr>
        <w:t>z</w:t>
      </w:r>
      <w:r w:rsidRPr="007A2C81">
        <w:rPr>
          <w:szCs w:val="24"/>
        </w:rPr>
        <w:t xml:space="preserve"> with an egg </w:t>
      </w:r>
      <w:r w:rsidRPr="007A2C81">
        <w:rPr>
          <w:i/>
          <w:szCs w:val="24"/>
        </w:rPr>
        <w:t>e</w:t>
      </w:r>
      <w:r w:rsidRPr="007A2C81">
        <w:rPr>
          <w:szCs w:val="24"/>
        </w:rPr>
        <w:t xml:space="preserve">. Then one can conceive that scientists synthesize a zygote by building it nucleotide by nucleotide, and happen to use exactly the actual matter of </w:t>
      </w:r>
      <w:r w:rsidRPr="007A2C81">
        <w:rPr>
          <w:i/>
          <w:szCs w:val="24"/>
        </w:rPr>
        <w:t>z</w:t>
      </w:r>
      <w:r w:rsidRPr="007A2C81">
        <w:rPr>
          <w:szCs w:val="24"/>
        </w:rPr>
        <w:t xml:space="preserve"> in exactly its actual </w:t>
      </w:r>
      <w:r w:rsidRPr="007A2C81">
        <w:rPr>
          <w:i/>
          <w:szCs w:val="24"/>
        </w:rPr>
        <w:t>z</w:t>
      </w:r>
      <w:r w:rsidRPr="007A2C81">
        <w:rPr>
          <w:szCs w:val="24"/>
        </w:rPr>
        <w:t xml:space="preserve">-configuration. In such a world, </w:t>
      </w:r>
      <w:r w:rsidRPr="007A2C81">
        <w:rPr>
          <w:i/>
          <w:szCs w:val="24"/>
        </w:rPr>
        <w:t>s</w:t>
      </w:r>
      <w:r w:rsidRPr="007A2C81">
        <w:rPr>
          <w:szCs w:val="24"/>
        </w:rPr>
        <w:t xml:space="preserve"> and </w:t>
      </w:r>
      <w:proofErr w:type="spellStart"/>
      <w:r w:rsidRPr="007A2C81">
        <w:rPr>
          <w:i/>
          <w:szCs w:val="24"/>
        </w:rPr>
        <w:t>e</w:t>
      </w:r>
      <w:proofErr w:type="spellEnd"/>
      <w:r w:rsidRPr="007A2C81">
        <w:rPr>
          <w:szCs w:val="24"/>
        </w:rPr>
        <w:t xml:space="preserve"> do not exist, or so we can consistently postulate, but it is hard to deny that </w:t>
      </w:r>
      <w:r w:rsidRPr="007A2C81">
        <w:rPr>
          <w:i/>
          <w:szCs w:val="24"/>
        </w:rPr>
        <w:t>z</w:t>
      </w:r>
      <w:r w:rsidRPr="007A2C81">
        <w:rPr>
          <w:szCs w:val="24"/>
        </w:rPr>
        <w:t xml:space="preserve"> exists…So </w:t>
      </w:r>
      <w:r w:rsidRPr="007A2C81">
        <w:rPr>
          <w:i/>
          <w:szCs w:val="24"/>
        </w:rPr>
        <w:t>z</w:t>
      </w:r>
      <w:r w:rsidRPr="007A2C81">
        <w:rPr>
          <w:szCs w:val="24"/>
        </w:rPr>
        <w:t xml:space="preserve"> exists but does not originate from </w:t>
      </w:r>
      <w:r w:rsidRPr="007A2C81">
        <w:rPr>
          <w:i/>
          <w:szCs w:val="24"/>
        </w:rPr>
        <w:t>s</w:t>
      </w:r>
      <w:r w:rsidRPr="007A2C81">
        <w:rPr>
          <w:szCs w:val="24"/>
        </w:rPr>
        <w:t xml:space="preserve"> and </w:t>
      </w:r>
      <w:r w:rsidRPr="007A2C81">
        <w:rPr>
          <w:i/>
          <w:szCs w:val="24"/>
        </w:rPr>
        <w:t>e</w:t>
      </w:r>
      <w:r w:rsidRPr="007A2C81">
        <w:rPr>
          <w:szCs w:val="24"/>
        </w:rPr>
        <w:t>, si</w:t>
      </w:r>
      <w:r w:rsidR="002D5268" w:rsidRPr="007A2C81">
        <w:rPr>
          <w:szCs w:val="24"/>
        </w:rPr>
        <w:t>nce they do not exist. (1986:</w:t>
      </w:r>
      <w:r w:rsidRPr="007A2C81">
        <w:rPr>
          <w:szCs w:val="24"/>
        </w:rPr>
        <w:t xml:space="preserve"> 7)</w:t>
      </w:r>
    </w:p>
    <w:p w:rsidR="00C76393" w:rsidRPr="007A2C81" w:rsidRDefault="00C76393" w:rsidP="00C76393">
      <w:pPr>
        <w:rPr>
          <w:szCs w:val="24"/>
        </w:rPr>
      </w:pPr>
    </w:p>
    <w:p w:rsidR="00C76393" w:rsidRPr="007A2C81" w:rsidRDefault="00C76393" w:rsidP="00C76393">
      <w:pPr>
        <w:rPr>
          <w:szCs w:val="24"/>
        </w:rPr>
      </w:pPr>
      <w:r w:rsidRPr="007A2C81">
        <w:rPr>
          <w:szCs w:val="24"/>
        </w:rPr>
        <w:t xml:space="preserve">Robertson agrees and claims that others who write on the topic do too (1998, p. 732 n. 5). I do not agree: it seems to me that the synthesized zygote is not </w:t>
      </w:r>
      <w:r w:rsidRPr="007A2C81">
        <w:rPr>
          <w:i/>
          <w:szCs w:val="24"/>
        </w:rPr>
        <w:t>z</w:t>
      </w:r>
      <w:r w:rsidRPr="007A2C81">
        <w:rPr>
          <w:szCs w:val="24"/>
        </w:rPr>
        <w:t xml:space="preserve"> precisely because it lacks the right history.</w:t>
      </w:r>
      <w:r w:rsidRPr="007A2C81">
        <w:rPr>
          <w:rStyle w:val="FootnoteReference"/>
          <w:szCs w:val="24"/>
        </w:rPr>
        <w:footnoteReference w:id="47"/>
      </w:r>
      <w:r w:rsidRPr="007A2C81">
        <w:rPr>
          <w:szCs w:val="24"/>
        </w:rPr>
        <w:t xml:space="preserve"> But we need more than intuitions.</w:t>
      </w:r>
    </w:p>
    <w:p w:rsidR="00C76393" w:rsidRPr="007A2C81" w:rsidRDefault="00C76393" w:rsidP="00C76393">
      <w:pPr>
        <w:rPr>
          <w:spacing w:val="-3"/>
          <w:szCs w:val="24"/>
        </w:rPr>
      </w:pPr>
    </w:p>
    <w:p w:rsidR="00665C14" w:rsidRPr="007A2C81" w:rsidRDefault="00C76393" w:rsidP="00665C14">
      <w:pPr>
        <w:rPr>
          <w:spacing w:val="-3"/>
          <w:szCs w:val="24"/>
        </w:rPr>
      </w:pPr>
      <w:r w:rsidRPr="007A2C81">
        <w:rPr>
          <w:szCs w:val="24"/>
        </w:rPr>
        <w:tab/>
        <w:t>I offer</w:t>
      </w:r>
      <w:r w:rsidR="002C67FB" w:rsidRPr="007A2C81">
        <w:rPr>
          <w:szCs w:val="24"/>
        </w:rPr>
        <w:t xml:space="preserve"> argument</w:t>
      </w:r>
      <w:r w:rsidR="00CC621C" w:rsidRPr="007A2C81">
        <w:rPr>
          <w:szCs w:val="24"/>
        </w:rPr>
        <w:t>s</w:t>
      </w:r>
      <w:r w:rsidR="002C67FB" w:rsidRPr="007A2C81">
        <w:rPr>
          <w:szCs w:val="24"/>
        </w:rPr>
        <w:t xml:space="preserve"> </w:t>
      </w:r>
      <w:r w:rsidR="008D30DD" w:rsidRPr="007A2C81">
        <w:rPr>
          <w:szCs w:val="24"/>
        </w:rPr>
        <w:t xml:space="preserve">for </w:t>
      </w:r>
      <w:proofErr w:type="spellStart"/>
      <w:r w:rsidR="008D30DD" w:rsidRPr="007A2C81">
        <w:rPr>
          <w:szCs w:val="24"/>
        </w:rPr>
        <w:t>Krip</w:t>
      </w:r>
      <w:r w:rsidR="00D154F2">
        <w:rPr>
          <w:szCs w:val="24"/>
        </w:rPr>
        <w:t>k</w:t>
      </w:r>
      <w:r w:rsidR="008D30DD" w:rsidRPr="007A2C81">
        <w:rPr>
          <w:szCs w:val="24"/>
        </w:rPr>
        <w:t>ean</w:t>
      </w:r>
      <w:proofErr w:type="spellEnd"/>
      <w:r w:rsidR="008D30DD" w:rsidRPr="007A2C81">
        <w:rPr>
          <w:szCs w:val="24"/>
        </w:rPr>
        <w:t xml:space="preserve"> individual essentialism </w:t>
      </w:r>
      <w:r w:rsidR="00354CC7" w:rsidRPr="007A2C81">
        <w:rPr>
          <w:szCs w:val="24"/>
        </w:rPr>
        <w:t xml:space="preserve">that </w:t>
      </w:r>
      <w:r w:rsidR="00CC621C" w:rsidRPr="007A2C81">
        <w:rPr>
          <w:szCs w:val="24"/>
        </w:rPr>
        <w:t>are</w:t>
      </w:r>
      <w:r w:rsidR="00354CC7" w:rsidRPr="007A2C81">
        <w:rPr>
          <w:szCs w:val="24"/>
        </w:rPr>
        <w:t xml:space="preserve"> </w:t>
      </w:r>
      <w:r w:rsidR="002146D1" w:rsidRPr="007A2C81">
        <w:rPr>
          <w:szCs w:val="24"/>
        </w:rPr>
        <w:t>analogous</w:t>
      </w:r>
      <w:r w:rsidR="00354CC7" w:rsidRPr="007A2C81">
        <w:rPr>
          <w:szCs w:val="24"/>
        </w:rPr>
        <w:t xml:space="preserve"> </w:t>
      </w:r>
      <w:r w:rsidR="002C67FB" w:rsidRPr="007A2C81">
        <w:rPr>
          <w:szCs w:val="24"/>
        </w:rPr>
        <w:t>to th</w:t>
      </w:r>
      <w:r w:rsidR="002146D1" w:rsidRPr="007A2C81">
        <w:rPr>
          <w:szCs w:val="24"/>
        </w:rPr>
        <w:t>ose</w:t>
      </w:r>
      <w:r w:rsidR="002C67FB" w:rsidRPr="007A2C81">
        <w:rPr>
          <w:szCs w:val="24"/>
        </w:rPr>
        <w:t xml:space="preserve"> </w:t>
      </w:r>
      <w:r w:rsidR="008D30DD" w:rsidRPr="007A2C81">
        <w:rPr>
          <w:szCs w:val="24"/>
        </w:rPr>
        <w:t>for taxon essentialism</w:t>
      </w:r>
      <w:r w:rsidR="002D5268" w:rsidRPr="007A2C81">
        <w:rPr>
          <w:szCs w:val="24"/>
        </w:rPr>
        <w:t xml:space="preserve"> described briefly in section 6</w:t>
      </w:r>
      <w:r w:rsidR="002C67FB" w:rsidRPr="007A2C81">
        <w:rPr>
          <w:szCs w:val="24"/>
        </w:rPr>
        <w:t xml:space="preserve">. </w:t>
      </w:r>
      <w:r w:rsidR="00354CC7" w:rsidRPr="007A2C81">
        <w:rPr>
          <w:szCs w:val="24"/>
        </w:rPr>
        <w:t xml:space="preserve">The historical component of </w:t>
      </w:r>
      <w:r w:rsidR="00354CC7" w:rsidRPr="007A2C81">
        <w:rPr>
          <w:i/>
          <w:szCs w:val="24"/>
        </w:rPr>
        <w:t>O</w:t>
      </w:r>
      <w:r w:rsidR="00295CE0" w:rsidRPr="007A2C81">
        <w:rPr>
          <w:szCs w:val="24"/>
        </w:rPr>
        <w:t>’</w:t>
      </w:r>
      <w:r w:rsidR="006745D3" w:rsidRPr="007A2C81">
        <w:rPr>
          <w:szCs w:val="24"/>
        </w:rPr>
        <w:t>s essence</w:t>
      </w:r>
      <w:r w:rsidR="00354CC7" w:rsidRPr="007A2C81">
        <w:rPr>
          <w:szCs w:val="24"/>
        </w:rPr>
        <w:t xml:space="preserve"> is demanded by </w:t>
      </w:r>
      <w:r w:rsidR="002E5D16" w:rsidRPr="007A2C81">
        <w:rPr>
          <w:szCs w:val="24"/>
        </w:rPr>
        <w:t>“</w:t>
      </w:r>
      <w:r w:rsidR="00354CC7" w:rsidRPr="007A2C81">
        <w:rPr>
          <w:szCs w:val="24"/>
        </w:rPr>
        <w:t>historical</w:t>
      </w:r>
      <w:r w:rsidR="002E5D16" w:rsidRPr="007A2C81">
        <w:rPr>
          <w:szCs w:val="24"/>
        </w:rPr>
        <w:t>”</w:t>
      </w:r>
      <w:r w:rsidR="00354CC7" w:rsidRPr="007A2C81">
        <w:rPr>
          <w:szCs w:val="24"/>
        </w:rPr>
        <w:t xml:space="preserve"> </w:t>
      </w:r>
      <w:r w:rsidR="00354CC7" w:rsidRPr="00D154F2">
        <w:rPr>
          <w:i/>
          <w:szCs w:val="24"/>
        </w:rPr>
        <w:t>explanations</w:t>
      </w:r>
      <w:r w:rsidR="00354CC7" w:rsidRPr="007A2C81">
        <w:rPr>
          <w:szCs w:val="24"/>
        </w:rPr>
        <w:t xml:space="preserve"> </w:t>
      </w:r>
      <w:r w:rsidR="00DE58B4" w:rsidRPr="007A2C81">
        <w:rPr>
          <w:szCs w:val="24"/>
        </w:rPr>
        <w:t xml:space="preserve">of </w:t>
      </w:r>
      <w:r w:rsidR="00DE58B4" w:rsidRPr="007A2C81">
        <w:rPr>
          <w:i/>
          <w:szCs w:val="24"/>
        </w:rPr>
        <w:t>O</w:t>
      </w:r>
      <w:r w:rsidR="00DE58B4" w:rsidRPr="007A2C81">
        <w:rPr>
          <w:szCs w:val="24"/>
        </w:rPr>
        <w:t>, the intrinsic component</w:t>
      </w:r>
      <w:r w:rsidR="006745D3" w:rsidRPr="007A2C81">
        <w:rPr>
          <w:szCs w:val="24"/>
        </w:rPr>
        <w:t>, by “structural”</w:t>
      </w:r>
      <w:r w:rsidR="00CC621C" w:rsidRPr="007A2C81">
        <w:rPr>
          <w:szCs w:val="24"/>
        </w:rPr>
        <w:t xml:space="preserve"> </w:t>
      </w:r>
      <w:r w:rsidR="00CC621C" w:rsidRPr="00FE79E2">
        <w:rPr>
          <w:i/>
          <w:szCs w:val="24"/>
        </w:rPr>
        <w:t>explanations</w:t>
      </w:r>
      <w:r w:rsidR="00CC621C" w:rsidRPr="007A2C81">
        <w:rPr>
          <w:szCs w:val="24"/>
        </w:rPr>
        <w:t xml:space="preserve">. These arguments support </w:t>
      </w:r>
      <w:proofErr w:type="spellStart"/>
      <w:r w:rsidR="002146D1" w:rsidRPr="007A2C81">
        <w:rPr>
          <w:szCs w:val="24"/>
        </w:rPr>
        <w:t>Kripkean</w:t>
      </w:r>
      <w:proofErr w:type="spellEnd"/>
      <w:r w:rsidR="002146D1" w:rsidRPr="007A2C81">
        <w:rPr>
          <w:szCs w:val="24"/>
        </w:rPr>
        <w:t xml:space="preserve"> origin essentialism against Forbes and </w:t>
      </w:r>
      <w:r w:rsidR="002146D1" w:rsidRPr="007A2C81">
        <w:rPr>
          <w:szCs w:val="24"/>
        </w:rPr>
        <w:lastRenderedPageBreak/>
        <w:t xml:space="preserve">Robertson and, </w:t>
      </w:r>
      <w:r w:rsidR="002E5D16" w:rsidRPr="007A2C81">
        <w:rPr>
          <w:szCs w:val="24"/>
        </w:rPr>
        <w:t xml:space="preserve">when combined </w:t>
      </w:r>
      <w:r w:rsidR="002146D1" w:rsidRPr="007A2C81">
        <w:rPr>
          <w:szCs w:val="24"/>
        </w:rPr>
        <w:t xml:space="preserve">with </w:t>
      </w:r>
      <w:r w:rsidR="00516D0D">
        <w:rPr>
          <w:szCs w:val="24"/>
        </w:rPr>
        <w:t>species</w:t>
      </w:r>
      <w:r w:rsidR="002146D1" w:rsidRPr="007A2C81">
        <w:rPr>
          <w:szCs w:val="24"/>
        </w:rPr>
        <w:t xml:space="preserve"> essentialism, support </w:t>
      </w:r>
      <w:r w:rsidR="00CC621C" w:rsidRPr="007A2C81">
        <w:rPr>
          <w:i/>
          <w:szCs w:val="24"/>
        </w:rPr>
        <w:t>Essential Membership</w:t>
      </w:r>
      <w:r w:rsidR="00CC621C" w:rsidRPr="007A2C81">
        <w:rPr>
          <w:szCs w:val="24"/>
        </w:rPr>
        <w:t xml:space="preserve"> against the philosophers of biology</w:t>
      </w:r>
      <w:r w:rsidR="00CF5791" w:rsidRPr="007A2C81">
        <w:rPr>
          <w:szCs w:val="24"/>
        </w:rPr>
        <w:t xml:space="preserve"> (2018b)</w:t>
      </w:r>
      <w:r w:rsidR="002146D1" w:rsidRPr="007A2C81">
        <w:rPr>
          <w:szCs w:val="24"/>
        </w:rPr>
        <w:t>.</w:t>
      </w:r>
      <w:r w:rsidR="00665C14" w:rsidRPr="007A2C81">
        <w:rPr>
          <w:spacing w:val="-3"/>
          <w:szCs w:val="24"/>
        </w:rPr>
        <w:t xml:space="preserve"> </w:t>
      </w:r>
    </w:p>
    <w:p w:rsidR="00354CC7" w:rsidRDefault="00354CC7" w:rsidP="002C67FB">
      <w:pPr>
        <w:pStyle w:val="FootnoteText"/>
        <w:rPr>
          <w:sz w:val="24"/>
          <w:szCs w:val="24"/>
        </w:rPr>
      </w:pPr>
    </w:p>
    <w:p w:rsidR="00C64819" w:rsidRPr="007A2C81" w:rsidRDefault="00C64819" w:rsidP="00C64819">
      <w:pPr>
        <w:pStyle w:val="FootnoteText"/>
        <w:rPr>
          <w:sz w:val="24"/>
          <w:szCs w:val="24"/>
        </w:rPr>
      </w:pPr>
      <w:r w:rsidRPr="007A2C81">
        <w:rPr>
          <w:b/>
          <w:sz w:val="24"/>
          <w:szCs w:val="24"/>
        </w:rPr>
        <w:t>9. Conclusion</w:t>
      </w:r>
    </w:p>
    <w:p w:rsidR="00C64819" w:rsidRPr="007A2C81" w:rsidRDefault="00C64819" w:rsidP="00C64819">
      <w:pPr>
        <w:ind w:firstLine="720"/>
        <w:rPr>
          <w:szCs w:val="24"/>
        </w:rPr>
      </w:pPr>
    </w:p>
    <w:p w:rsidR="00C64819" w:rsidRPr="007A2C81" w:rsidRDefault="00C64819" w:rsidP="00C64819">
      <w:pPr>
        <w:rPr>
          <w:szCs w:val="24"/>
        </w:rPr>
      </w:pPr>
      <w:r w:rsidRPr="007A2C81">
        <w:rPr>
          <w:szCs w:val="24"/>
        </w:rPr>
        <w:t xml:space="preserve">The early sections of the paper were concerned with </w:t>
      </w:r>
      <w:r w:rsidRPr="007A2C81">
        <w:rPr>
          <w:i/>
          <w:szCs w:val="24"/>
        </w:rPr>
        <w:t>Naming and Necessity</w:t>
      </w:r>
      <w:r w:rsidRPr="007A2C81">
        <w:rPr>
          <w:szCs w:val="24"/>
        </w:rPr>
        <w:t xml:space="preserve">’s discussion of the philosophy of language. In section 2, I discussed </w:t>
      </w:r>
      <w:proofErr w:type="spellStart"/>
      <w:r w:rsidRPr="007A2C81">
        <w:rPr>
          <w:szCs w:val="24"/>
        </w:rPr>
        <w:t>Kripke’s</w:t>
      </w:r>
      <w:proofErr w:type="spellEnd"/>
      <w:r w:rsidRPr="007A2C81">
        <w:rPr>
          <w:szCs w:val="24"/>
        </w:rPr>
        <w:t xml:space="preserve"> Ignorance and Error argument against description theories. This argument is devastating for description theories of names, including causal descriptivist ones. But it challenges all description theories, the use theory of meaning, and quite a lot else. Its reach and power has not had the recognition it deserves. </w:t>
      </w:r>
    </w:p>
    <w:p w:rsidR="00C64819" w:rsidRPr="007A2C81" w:rsidRDefault="00C64819" w:rsidP="00C64819">
      <w:pPr>
        <w:ind w:firstLine="720"/>
        <w:rPr>
          <w:szCs w:val="24"/>
        </w:rPr>
      </w:pPr>
    </w:p>
    <w:p w:rsidR="00C64819" w:rsidRPr="007A2C81" w:rsidRDefault="00C64819" w:rsidP="00C64819">
      <w:pPr>
        <w:ind w:firstLine="720"/>
        <w:rPr>
          <w:szCs w:val="24"/>
        </w:rPr>
      </w:pPr>
      <w:r w:rsidRPr="007A2C81">
        <w:rPr>
          <w:szCs w:val="24"/>
        </w:rPr>
        <w:t xml:space="preserve">In section 3, I turned to the alternative “picture”, causal-historical theories. </w:t>
      </w:r>
      <w:proofErr w:type="spellStart"/>
      <w:r w:rsidRPr="007A2C81">
        <w:rPr>
          <w:szCs w:val="24"/>
        </w:rPr>
        <w:t>Kripke’s</w:t>
      </w:r>
      <w:proofErr w:type="spellEnd"/>
      <w:r w:rsidRPr="007A2C81">
        <w:rPr>
          <w:szCs w:val="24"/>
        </w:rPr>
        <w:t xml:space="preserve"> theory of reference borrowing is his other enormous contribution to the theory of language. It is widely misunderstood as requiring a speaker, in using a term, to “defer” to the person from whom she got the term. Such an </w:t>
      </w:r>
      <w:proofErr w:type="spellStart"/>
      <w:r w:rsidRPr="007A2C81">
        <w:rPr>
          <w:szCs w:val="24"/>
        </w:rPr>
        <w:t>epistemically</w:t>
      </w:r>
      <w:proofErr w:type="spellEnd"/>
      <w:r w:rsidRPr="007A2C81">
        <w:rPr>
          <w:szCs w:val="24"/>
        </w:rPr>
        <w:t xml:space="preserve"> demanding “backward-looking” intention has no place in the </w:t>
      </w:r>
      <w:proofErr w:type="spellStart"/>
      <w:r w:rsidRPr="007A2C81">
        <w:rPr>
          <w:szCs w:val="24"/>
        </w:rPr>
        <w:t>Kripkean</w:t>
      </w:r>
      <w:proofErr w:type="spellEnd"/>
      <w:r w:rsidRPr="007A2C81">
        <w:rPr>
          <w:szCs w:val="24"/>
        </w:rPr>
        <w:t xml:space="preserve"> “picture” of reference. It remains to be seen just how widespread reference borrowing is in language. </w:t>
      </w:r>
    </w:p>
    <w:p w:rsidR="00C64819" w:rsidRPr="007A2C81" w:rsidRDefault="00C64819" w:rsidP="00C64819">
      <w:pPr>
        <w:ind w:firstLine="720"/>
        <w:rPr>
          <w:szCs w:val="24"/>
        </w:rPr>
      </w:pPr>
    </w:p>
    <w:p w:rsidR="00C64819" w:rsidRPr="007A2C81" w:rsidRDefault="00C64819" w:rsidP="00C64819">
      <w:pPr>
        <w:ind w:firstLine="720"/>
        <w:rPr>
          <w:szCs w:val="24"/>
        </w:rPr>
      </w:pPr>
      <w:r w:rsidRPr="007A2C81">
        <w:rPr>
          <w:szCs w:val="24"/>
        </w:rPr>
        <w:t xml:space="preserve">In section 4. we noted that a description theory can avoid </w:t>
      </w:r>
      <w:proofErr w:type="spellStart"/>
      <w:r w:rsidRPr="007A2C81">
        <w:rPr>
          <w:szCs w:val="24"/>
        </w:rPr>
        <w:t>Kripke’s</w:t>
      </w:r>
      <w:proofErr w:type="spellEnd"/>
      <w:r w:rsidRPr="007A2C81">
        <w:rPr>
          <w:szCs w:val="24"/>
        </w:rPr>
        <w:t xml:space="preserve"> Lost Rigidity argument by rigidifying its descriptions. Still, the argument is powerful against all traditional description theories. It is important to note that its intuitions about reference are derived from </w:t>
      </w:r>
      <w:r>
        <w:rPr>
          <w:szCs w:val="24"/>
        </w:rPr>
        <w:t xml:space="preserve">metaphysical </w:t>
      </w:r>
      <w:r w:rsidRPr="007A2C81">
        <w:rPr>
          <w:szCs w:val="24"/>
        </w:rPr>
        <w:t xml:space="preserve">intuitions about </w:t>
      </w:r>
      <w:r>
        <w:rPr>
          <w:szCs w:val="24"/>
        </w:rPr>
        <w:t>what is essential and necessary.</w:t>
      </w:r>
      <w:r w:rsidRPr="007A2C81">
        <w:rPr>
          <w:szCs w:val="24"/>
        </w:rPr>
        <w:t xml:space="preserve"> </w:t>
      </w:r>
    </w:p>
    <w:p w:rsidR="00C64819" w:rsidRPr="007A2C81" w:rsidRDefault="00C64819" w:rsidP="00C64819">
      <w:pPr>
        <w:ind w:firstLine="720"/>
        <w:rPr>
          <w:szCs w:val="24"/>
        </w:rPr>
      </w:pPr>
    </w:p>
    <w:p w:rsidR="00C64819" w:rsidRPr="007A2C81" w:rsidRDefault="00C64819" w:rsidP="00C64819">
      <w:pPr>
        <w:ind w:firstLine="720"/>
        <w:rPr>
          <w:szCs w:val="24"/>
        </w:rPr>
      </w:pPr>
      <w:r w:rsidRPr="007A2C81">
        <w:rPr>
          <w:szCs w:val="24"/>
        </w:rPr>
        <w:t xml:space="preserve">‘Rigid’ is defined for singular terms and yet Kripke applies it also to other sorts of terms. There is controversy over what notion of rigidity is appropriate for that. I have argued against Schwartz that the work we want a notion to do is not to distinguish “natural” kind terms from others but rather to feature in Lost Rigidity arguments. My notion of </w:t>
      </w:r>
      <w:r w:rsidRPr="007A2C81">
        <w:rPr>
          <w:i/>
          <w:szCs w:val="24"/>
        </w:rPr>
        <w:t>rigid application</w:t>
      </w:r>
      <w:r w:rsidRPr="007A2C81">
        <w:rPr>
          <w:szCs w:val="24"/>
        </w:rPr>
        <w:t xml:space="preserve"> does this nicely.</w:t>
      </w:r>
    </w:p>
    <w:p w:rsidR="00C64819" w:rsidRPr="007A2C81" w:rsidRDefault="00C64819" w:rsidP="00C64819">
      <w:pPr>
        <w:ind w:firstLine="720"/>
        <w:rPr>
          <w:szCs w:val="24"/>
        </w:rPr>
      </w:pPr>
    </w:p>
    <w:p w:rsidR="00C64819" w:rsidRPr="007A2C81" w:rsidRDefault="00C64819" w:rsidP="00C64819">
      <w:pPr>
        <w:ind w:firstLine="720"/>
        <w:rPr>
          <w:szCs w:val="24"/>
        </w:rPr>
      </w:pPr>
      <w:r w:rsidRPr="007A2C81">
        <w:rPr>
          <w:szCs w:val="24"/>
        </w:rPr>
        <w:t xml:space="preserve">Section 5 discusses direct reference. This popular but highly implausible theory that a name’s meaning is its referent is widely misattributed to Kripke who is in fact noncommittal. The reason for this misattribution seems to be the idea that there </w:t>
      </w:r>
      <w:proofErr w:type="gramStart"/>
      <w:r w:rsidRPr="007A2C81">
        <w:rPr>
          <w:szCs w:val="24"/>
        </w:rPr>
        <w:t>is</w:t>
      </w:r>
      <w:proofErr w:type="gramEnd"/>
      <w:r w:rsidRPr="007A2C81">
        <w:rPr>
          <w:szCs w:val="24"/>
        </w:rPr>
        <w:t xml:space="preserve"> no alternative once descriptivist views of a name’s meaning have been rejected. But there is an alternative, one that I have been urging over the years: a name’s meaning is its </w:t>
      </w:r>
      <w:r w:rsidRPr="007A2C81">
        <w:rPr>
          <w:i/>
          <w:szCs w:val="24"/>
        </w:rPr>
        <w:t>causal</w:t>
      </w:r>
      <w:r w:rsidRPr="007A2C81">
        <w:rPr>
          <w:szCs w:val="24"/>
        </w:rPr>
        <w:t xml:space="preserve"> mode of reference. I related the curios history of direct reference, climaxing with the story of Kaplan. He, unlike Kripke, </w:t>
      </w:r>
      <w:r w:rsidRPr="007A2C81">
        <w:rPr>
          <w:i/>
          <w:szCs w:val="24"/>
        </w:rPr>
        <w:t>is</w:t>
      </w:r>
      <w:r w:rsidRPr="007A2C81">
        <w:rPr>
          <w:szCs w:val="24"/>
        </w:rPr>
        <w:t xml:space="preserve"> a source of the direct reference theory of proper names and yet he has recently urged what is, in effect, my old alternative.</w:t>
      </w:r>
    </w:p>
    <w:p w:rsidR="00C64819" w:rsidRPr="007A2C81" w:rsidRDefault="00C64819" w:rsidP="00C64819">
      <w:pPr>
        <w:rPr>
          <w:szCs w:val="24"/>
        </w:rPr>
      </w:pPr>
    </w:p>
    <w:p w:rsidR="00C64819" w:rsidRPr="007A2C81" w:rsidRDefault="00C64819" w:rsidP="00C64819">
      <w:pPr>
        <w:rPr>
          <w:szCs w:val="24"/>
        </w:rPr>
      </w:pPr>
      <w:r w:rsidRPr="007A2C81">
        <w:rPr>
          <w:szCs w:val="24"/>
        </w:rPr>
        <w:tab/>
        <w:t xml:space="preserve">The final three sections addressed </w:t>
      </w:r>
      <w:proofErr w:type="spellStart"/>
      <w:r w:rsidRPr="007A2C81">
        <w:rPr>
          <w:szCs w:val="24"/>
        </w:rPr>
        <w:t>Kripke’s</w:t>
      </w:r>
      <w:proofErr w:type="spellEnd"/>
      <w:r w:rsidRPr="007A2C81">
        <w:rPr>
          <w:szCs w:val="24"/>
        </w:rPr>
        <w:t xml:space="preserve"> views on essentialism. These views have come in for trenchant criticism</w:t>
      </w:r>
      <w:r>
        <w:rPr>
          <w:szCs w:val="24"/>
        </w:rPr>
        <w:t xml:space="preserve"> from philosophers of science</w:t>
      </w:r>
      <w:r w:rsidRPr="007A2C81">
        <w:rPr>
          <w:szCs w:val="24"/>
        </w:rPr>
        <w:t>. His view, discussed in section 6, that biological kinds like tigers have an essential “internal structure” has been dismissed by philosophers of biology as reflecting ignorance of biology. And his similar view, discussed in section 7, about chemical kinds like water has been similarly dismissed by Paul Needham</w:t>
      </w:r>
      <w:r>
        <w:rPr>
          <w:szCs w:val="24"/>
        </w:rPr>
        <w:t>, a philosopher of chemistry</w:t>
      </w:r>
      <w:r w:rsidRPr="007A2C81">
        <w:rPr>
          <w:szCs w:val="24"/>
        </w:rPr>
        <w:t xml:space="preserve">. Finally, in section 8, I considered the </w:t>
      </w:r>
      <w:proofErr w:type="spellStart"/>
      <w:r w:rsidRPr="007A2C81">
        <w:rPr>
          <w:szCs w:val="24"/>
        </w:rPr>
        <w:t>Kripkean</w:t>
      </w:r>
      <w:proofErr w:type="spellEnd"/>
      <w:r w:rsidRPr="007A2C81">
        <w:rPr>
          <w:szCs w:val="24"/>
        </w:rPr>
        <w:t xml:space="preserve"> view that an individual like the Queen has an essence that is partly historical, partly underlying intrinsic. When combined with </w:t>
      </w:r>
      <w:proofErr w:type="spellStart"/>
      <w:r w:rsidRPr="007A2C81">
        <w:rPr>
          <w:szCs w:val="24"/>
        </w:rPr>
        <w:t>Kripke’s</w:t>
      </w:r>
      <w:proofErr w:type="spellEnd"/>
      <w:r w:rsidRPr="007A2C81">
        <w:rPr>
          <w:szCs w:val="24"/>
        </w:rPr>
        <w:t xml:space="preserve"> kind essentialism, this leads to the doctrine of </w:t>
      </w:r>
      <w:r w:rsidRPr="007A2C81">
        <w:rPr>
          <w:i/>
          <w:szCs w:val="24"/>
        </w:rPr>
        <w:t>Essential Membership</w:t>
      </w:r>
      <w:r w:rsidRPr="007A2C81">
        <w:rPr>
          <w:szCs w:val="24"/>
        </w:rPr>
        <w:t xml:space="preserve">: if </w:t>
      </w:r>
      <w:r w:rsidRPr="007A2C81">
        <w:rPr>
          <w:szCs w:val="24"/>
        </w:rPr>
        <w:lastRenderedPageBreak/>
        <w:t xml:space="preserve">an individual organism </w:t>
      </w:r>
      <w:r w:rsidRPr="007A2C81">
        <w:rPr>
          <w:i/>
          <w:szCs w:val="24"/>
        </w:rPr>
        <w:t>O</w:t>
      </w:r>
      <w:r w:rsidRPr="007A2C81">
        <w:rPr>
          <w:szCs w:val="24"/>
        </w:rPr>
        <w:t xml:space="preserve"> belongs to a </w:t>
      </w:r>
      <w:r>
        <w:rPr>
          <w:szCs w:val="24"/>
        </w:rPr>
        <w:t>species</w:t>
      </w:r>
      <w:r w:rsidRPr="007A2C81">
        <w:rPr>
          <w:szCs w:val="24"/>
        </w:rPr>
        <w:t>, it does so essentially. This puts Kripke again sharply at odds with philosophers of biology. And some metaphysicians disagree with him over the “principle of origin”.</w:t>
      </w:r>
    </w:p>
    <w:p w:rsidR="00C64819" w:rsidRPr="007A2C81" w:rsidRDefault="00C64819" w:rsidP="00C64819">
      <w:pPr>
        <w:rPr>
          <w:szCs w:val="24"/>
        </w:rPr>
      </w:pPr>
    </w:p>
    <w:p w:rsidR="00C64819" w:rsidRPr="007A2C81" w:rsidRDefault="00C64819" w:rsidP="00C64819">
      <w:pPr>
        <w:rPr>
          <w:szCs w:val="24"/>
        </w:rPr>
      </w:pPr>
      <w:r w:rsidRPr="007A2C81">
        <w:rPr>
          <w:szCs w:val="24"/>
        </w:rPr>
        <w:tab/>
        <w:t xml:space="preserve">In response to these objections to </w:t>
      </w:r>
      <w:proofErr w:type="spellStart"/>
      <w:r w:rsidRPr="007A2C81">
        <w:rPr>
          <w:szCs w:val="24"/>
        </w:rPr>
        <w:t>Kripkean</w:t>
      </w:r>
      <w:proofErr w:type="spellEnd"/>
      <w:r w:rsidRPr="007A2C81">
        <w:rPr>
          <w:szCs w:val="24"/>
        </w:rPr>
        <w:t xml:space="preserve"> essentialism, I have gestured toward arguments, which have mostly been made elsewhere. These arguments start from the premise that essences explain the observed properties of kinds or individuals and their places in the causal nexus. Find whatever plays that causal role and one has found the essence. My empirical hypothesis is that Kripke has gotten it pretty right about essences.</w:t>
      </w:r>
      <w:r w:rsidRPr="007A2C81">
        <w:rPr>
          <w:rStyle w:val="FootnoteReference"/>
          <w:szCs w:val="24"/>
        </w:rPr>
        <w:footnoteReference w:id="48"/>
      </w:r>
    </w:p>
    <w:p w:rsidR="00F47FF9" w:rsidRPr="007A2C81" w:rsidRDefault="00F47FF9" w:rsidP="00F47FF9">
      <w:pPr>
        <w:rPr>
          <w:szCs w:val="24"/>
        </w:rPr>
      </w:pPr>
    </w:p>
    <w:p w:rsidR="00B5061E" w:rsidRPr="007A2C81" w:rsidRDefault="00B5061E" w:rsidP="00B5061E">
      <w:pPr>
        <w:pStyle w:val="FootnoteText"/>
        <w:jc w:val="center"/>
        <w:rPr>
          <w:sz w:val="24"/>
          <w:szCs w:val="24"/>
        </w:rPr>
      </w:pPr>
      <w:r w:rsidRPr="007A2C81">
        <w:rPr>
          <w:sz w:val="24"/>
          <w:szCs w:val="24"/>
        </w:rPr>
        <w:t>REFERENCES</w:t>
      </w:r>
    </w:p>
    <w:p w:rsidR="00B5061E" w:rsidRPr="007A2C81" w:rsidRDefault="00B5061E" w:rsidP="00B5061E">
      <w:pPr>
        <w:pStyle w:val="FootnoteText"/>
        <w:rPr>
          <w:sz w:val="24"/>
          <w:szCs w:val="24"/>
        </w:rPr>
      </w:pPr>
    </w:p>
    <w:p w:rsidR="00B5061E" w:rsidRPr="007A2C81" w:rsidRDefault="00B5061E" w:rsidP="00B5061E">
      <w:pPr>
        <w:tabs>
          <w:tab w:val="left" w:pos="-720"/>
          <w:tab w:val="left" w:pos="0"/>
        </w:tabs>
        <w:ind w:left="720" w:hanging="720"/>
        <w:rPr>
          <w:spacing w:val="-3"/>
          <w:szCs w:val="24"/>
        </w:rPr>
      </w:pPr>
      <w:r w:rsidRPr="007A2C81">
        <w:rPr>
          <w:spacing w:val="-3"/>
          <w:szCs w:val="24"/>
        </w:rPr>
        <w:t xml:space="preserve">Ackerman, Felicia (Diana). 1979. “Proper Names, Propositional Attitudes and Non-Descriptive Connotations”. </w:t>
      </w:r>
      <w:r w:rsidRPr="007A2C81">
        <w:rPr>
          <w:i/>
          <w:spacing w:val="-3"/>
          <w:szCs w:val="24"/>
        </w:rPr>
        <w:t>Philosophical Studies</w:t>
      </w:r>
      <w:r w:rsidRPr="007A2C81">
        <w:rPr>
          <w:spacing w:val="-3"/>
          <w:szCs w:val="24"/>
        </w:rPr>
        <w:t xml:space="preserve"> 35: 55</w:t>
      </w:r>
      <w:r w:rsidRPr="007A2C81">
        <w:rPr>
          <w:spacing w:val="-3"/>
          <w:szCs w:val="24"/>
        </w:rPr>
        <w:noBreakHyphen/>
        <w:t>69.</w:t>
      </w:r>
    </w:p>
    <w:p w:rsidR="00B5061E" w:rsidRPr="007A2C81" w:rsidRDefault="00B5061E" w:rsidP="00B5061E">
      <w:pPr>
        <w:tabs>
          <w:tab w:val="left" w:pos="-720"/>
        </w:tabs>
        <w:spacing w:line="240" w:lineRule="atLeast"/>
        <w:ind w:left="720" w:hanging="720"/>
        <w:rPr>
          <w:rFonts w:eastAsia="Calibri"/>
          <w:szCs w:val="24"/>
        </w:rPr>
      </w:pPr>
      <w:proofErr w:type="spellStart"/>
      <w:r w:rsidRPr="007A2C81">
        <w:rPr>
          <w:rFonts w:eastAsia="Calibri"/>
          <w:szCs w:val="24"/>
        </w:rPr>
        <w:t>Almog</w:t>
      </w:r>
      <w:proofErr w:type="spellEnd"/>
      <w:r w:rsidRPr="007A2C81">
        <w:rPr>
          <w:rFonts w:eastAsia="Calibri"/>
          <w:szCs w:val="24"/>
        </w:rPr>
        <w:t>, Joseph. 1984. “Se</w:t>
      </w:r>
      <w:r w:rsidR="001455B6">
        <w:rPr>
          <w:rFonts w:eastAsia="Calibri"/>
          <w:szCs w:val="24"/>
        </w:rPr>
        <w:t>mantic Anthropology”. In French et al.</w:t>
      </w:r>
      <w:r w:rsidRPr="007A2C81">
        <w:rPr>
          <w:rFonts w:eastAsia="Calibri"/>
          <w:szCs w:val="24"/>
        </w:rPr>
        <w:t xml:space="preserve"> 1984: 479</w:t>
      </w:r>
      <w:r w:rsidRPr="007A2C81">
        <w:rPr>
          <w:rFonts w:eastAsia="Calibri"/>
          <w:szCs w:val="24"/>
        </w:rPr>
        <w:noBreakHyphen/>
        <w:t>89.</w:t>
      </w:r>
    </w:p>
    <w:p w:rsidR="00B5061E" w:rsidRPr="007A2C81" w:rsidRDefault="00B5061E" w:rsidP="00B5061E">
      <w:pPr>
        <w:tabs>
          <w:tab w:val="left" w:pos="-720"/>
        </w:tabs>
        <w:spacing w:line="240" w:lineRule="atLeast"/>
        <w:ind w:left="720" w:hanging="720"/>
        <w:rPr>
          <w:rFonts w:eastAsia="Calibri"/>
          <w:szCs w:val="24"/>
        </w:rPr>
      </w:pPr>
      <w:r w:rsidRPr="007A2C81">
        <w:rPr>
          <w:szCs w:val="24"/>
        </w:rPr>
        <w:t>___</w:t>
      </w:r>
      <w:r w:rsidRPr="007A2C81">
        <w:rPr>
          <w:rFonts w:eastAsia="Calibri"/>
          <w:szCs w:val="24"/>
        </w:rPr>
        <w:t xml:space="preserve">. 1985. “Form and Content”. </w:t>
      </w:r>
      <w:r w:rsidRPr="007A2C81">
        <w:rPr>
          <w:rFonts w:eastAsia="Calibri"/>
          <w:i/>
          <w:szCs w:val="24"/>
        </w:rPr>
        <w:t>Nous</w:t>
      </w:r>
      <w:r w:rsidRPr="007A2C81">
        <w:rPr>
          <w:rFonts w:eastAsia="Calibri"/>
          <w:szCs w:val="24"/>
        </w:rPr>
        <w:t xml:space="preserve"> 19: 603</w:t>
      </w:r>
      <w:r w:rsidRPr="007A2C81">
        <w:rPr>
          <w:rFonts w:eastAsia="Calibri"/>
          <w:szCs w:val="24"/>
        </w:rPr>
        <w:noBreakHyphen/>
        <w:t>16.</w:t>
      </w:r>
    </w:p>
    <w:p w:rsidR="00B5061E" w:rsidRPr="007A2C81" w:rsidRDefault="00B5061E" w:rsidP="00B5061E">
      <w:pPr>
        <w:tabs>
          <w:tab w:val="left" w:pos="-720"/>
        </w:tabs>
        <w:spacing w:line="240" w:lineRule="atLeast"/>
        <w:ind w:left="720" w:hanging="720"/>
        <w:rPr>
          <w:rFonts w:eastAsia="Calibri"/>
          <w:szCs w:val="24"/>
        </w:rPr>
      </w:pPr>
      <w:r w:rsidRPr="007A2C81">
        <w:rPr>
          <w:szCs w:val="24"/>
        </w:rPr>
        <w:t>___,</w:t>
      </w:r>
      <w:r w:rsidRPr="007A2C81">
        <w:rPr>
          <w:rFonts w:eastAsia="Calibri"/>
          <w:szCs w:val="24"/>
        </w:rPr>
        <w:t xml:space="preserve"> John Perry, and Howard </w:t>
      </w:r>
      <w:proofErr w:type="spellStart"/>
      <w:r w:rsidRPr="007A2C81">
        <w:rPr>
          <w:rFonts w:eastAsia="Calibri"/>
          <w:szCs w:val="24"/>
        </w:rPr>
        <w:t>Wettstein</w:t>
      </w:r>
      <w:proofErr w:type="spellEnd"/>
      <w:r w:rsidRPr="007A2C81">
        <w:rPr>
          <w:rFonts w:eastAsia="Calibri"/>
          <w:szCs w:val="24"/>
        </w:rPr>
        <w:t xml:space="preserve">, eds. 1989. </w:t>
      </w:r>
      <w:r w:rsidRPr="007A2C81">
        <w:rPr>
          <w:rFonts w:eastAsia="Calibri"/>
          <w:i/>
          <w:szCs w:val="24"/>
        </w:rPr>
        <w:t>Themes from Kaplan</w:t>
      </w:r>
      <w:r w:rsidRPr="007A2C81">
        <w:rPr>
          <w:rFonts w:eastAsia="Calibri"/>
          <w:szCs w:val="24"/>
        </w:rPr>
        <w:t>. Oxford: Oxford University Press.</w:t>
      </w:r>
    </w:p>
    <w:p w:rsidR="00B5061E" w:rsidRDefault="00B5061E" w:rsidP="00B5061E">
      <w:pPr>
        <w:tabs>
          <w:tab w:val="left" w:pos="-720"/>
        </w:tabs>
        <w:spacing w:line="240" w:lineRule="atLeast"/>
        <w:ind w:left="720" w:hanging="720"/>
        <w:rPr>
          <w:spacing w:val="-3"/>
          <w:szCs w:val="24"/>
        </w:rPr>
      </w:pPr>
      <w:r w:rsidRPr="007A2C81">
        <w:rPr>
          <w:spacing w:val="-3"/>
          <w:szCs w:val="24"/>
        </w:rPr>
        <w:t xml:space="preserve">Baker, Lynne Rudder. 1982. “Underprivileged Access”. </w:t>
      </w:r>
      <w:r w:rsidRPr="007A2C81">
        <w:rPr>
          <w:i/>
          <w:spacing w:val="-3"/>
          <w:szCs w:val="24"/>
        </w:rPr>
        <w:t>Nous</w:t>
      </w:r>
      <w:r w:rsidRPr="007A2C81">
        <w:rPr>
          <w:spacing w:val="-3"/>
          <w:szCs w:val="24"/>
        </w:rPr>
        <w:t xml:space="preserve"> 16: 227-42.</w:t>
      </w:r>
    </w:p>
    <w:p w:rsidR="003B68F8" w:rsidRPr="007A2C81" w:rsidRDefault="00731E5C" w:rsidP="00B5061E">
      <w:pPr>
        <w:tabs>
          <w:tab w:val="left" w:pos="-720"/>
        </w:tabs>
        <w:spacing w:line="240" w:lineRule="atLeast"/>
        <w:ind w:left="720" w:hanging="720"/>
        <w:rPr>
          <w:spacing w:val="-3"/>
          <w:szCs w:val="24"/>
        </w:rPr>
      </w:pPr>
      <w:r>
        <w:rPr>
          <w:spacing w:val="-3"/>
          <w:szCs w:val="24"/>
        </w:rPr>
        <w:t>Barker, M. J. 2010</w:t>
      </w:r>
      <w:r w:rsidR="003B68F8" w:rsidRPr="003B68F8">
        <w:rPr>
          <w:spacing w:val="-3"/>
          <w:szCs w:val="24"/>
        </w:rPr>
        <w:t xml:space="preserve">. </w:t>
      </w:r>
      <w:r>
        <w:rPr>
          <w:spacing w:val="-3"/>
          <w:szCs w:val="24"/>
        </w:rPr>
        <w:t xml:space="preserve">“Species </w:t>
      </w:r>
      <w:proofErr w:type="spellStart"/>
      <w:r>
        <w:rPr>
          <w:spacing w:val="-3"/>
          <w:szCs w:val="24"/>
        </w:rPr>
        <w:t>I</w:t>
      </w:r>
      <w:r w:rsidR="003B68F8" w:rsidRPr="003B68F8">
        <w:rPr>
          <w:spacing w:val="-3"/>
          <w:szCs w:val="24"/>
        </w:rPr>
        <w:t>ntrinsicalism</w:t>
      </w:r>
      <w:proofErr w:type="spellEnd"/>
      <w:r>
        <w:rPr>
          <w:spacing w:val="-3"/>
          <w:szCs w:val="24"/>
        </w:rPr>
        <w:t>”</w:t>
      </w:r>
      <w:r w:rsidR="003B68F8" w:rsidRPr="003B68F8">
        <w:rPr>
          <w:spacing w:val="-3"/>
          <w:szCs w:val="24"/>
        </w:rPr>
        <w:t xml:space="preserve">. </w:t>
      </w:r>
      <w:r w:rsidR="003B68F8" w:rsidRPr="003B68F8">
        <w:rPr>
          <w:i/>
          <w:spacing w:val="-3"/>
          <w:szCs w:val="24"/>
        </w:rPr>
        <w:t>Philosophy of Science</w:t>
      </w:r>
      <w:r>
        <w:rPr>
          <w:spacing w:val="-3"/>
          <w:szCs w:val="24"/>
        </w:rPr>
        <w:t xml:space="preserve"> 77:</w:t>
      </w:r>
      <w:r w:rsidR="003B68F8" w:rsidRPr="003B68F8">
        <w:rPr>
          <w:spacing w:val="-3"/>
          <w:szCs w:val="24"/>
        </w:rPr>
        <w:t xml:space="preserve"> 73–91.</w:t>
      </w:r>
    </w:p>
    <w:p w:rsidR="00B5061E" w:rsidRPr="007A2C81" w:rsidRDefault="00B5061E" w:rsidP="00B5061E">
      <w:pPr>
        <w:tabs>
          <w:tab w:val="left" w:pos="-720"/>
          <w:tab w:val="left" w:pos="0"/>
        </w:tabs>
        <w:spacing w:line="240" w:lineRule="atLeast"/>
        <w:ind w:left="720" w:hanging="720"/>
        <w:rPr>
          <w:rFonts w:eastAsia="Calibri"/>
          <w:spacing w:val="-3"/>
          <w:szCs w:val="24"/>
        </w:rPr>
      </w:pPr>
      <w:proofErr w:type="spellStart"/>
      <w:r w:rsidRPr="007A2C81">
        <w:rPr>
          <w:rFonts w:eastAsia="Calibri"/>
          <w:spacing w:val="-3"/>
          <w:szCs w:val="24"/>
        </w:rPr>
        <w:t>Barwise</w:t>
      </w:r>
      <w:proofErr w:type="spellEnd"/>
      <w:r w:rsidRPr="007A2C81">
        <w:rPr>
          <w:rFonts w:eastAsia="Calibri"/>
          <w:spacing w:val="-3"/>
          <w:szCs w:val="24"/>
        </w:rPr>
        <w:t xml:space="preserve">, Jon, and John Perry. 1983. </w:t>
      </w:r>
      <w:r w:rsidRPr="007A2C81">
        <w:rPr>
          <w:rFonts w:eastAsia="Calibri"/>
          <w:i/>
          <w:spacing w:val="-3"/>
          <w:szCs w:val="24"/>
        </w:rPr>
        <w:t>Situations and Attitudes</w:t>
      </w:r>
      <w:r w:rsidRPr="007A2C81">
        <w:rPr>
          <w:rFonts w:eastAsia="Calibri"/>
          <w:spacing w:val="-3"/>
          <w:szCs w:val="24"/>
        </w:rPr>
        <w:t>. Cambridge, MA: MIT Press.</w:t>
      </w:r>
    </w:p>
    <w:p w:rsidR="00B5061E" w:rsidRPr="007A2C81" w:rsidRDefault="00B5061E" w:rsidP="00B5061E">
      <w:pPr>
        <w:pStyle w:val="FootnoteText"/>
        <w:ind w:left="720" w:hanging="720"/>
        <w:rPr>
          <w:sz w:val="24"/>
          <w:szCs w:val="24"/>
        </w:rPr>
      </w:pPr>
      <w:r w:rsidRPr="007A2C81">
        <w:rPr>
          <w:sz w:val="24"/>
          <w:szCs w:val="24"/>
        </w:rPr>
        <w:t>Bianchi, Andrea</w:t>
      </w:r>
      <w:r w:rsidR="00731E5C">
        <w:rPr>
          <w:sz w:val="24"/>
          <w:szCs w:val="24"/>
        </w:rPr>
        <w:t xml:space="preserve"> (</w:t>
      </w:r>
      <w:proofErr w:type="spellStart"/>
      <w:r w:rsidR="00731E5C">
        <w:rPr>
          <w:sz w:val="24"/>
          <w:szCs w:val="24"/>
        </w:rPr>
        <w:t>ed</w:t>
      </w:r>
      <w:proofErr w:type="spellEnd"/>
      <w:r w:rsidR="00731E5C">
        <w:rPr>
          <w:sz w:val="24"/>
          <w:szCs w:val="24"/>
        </w:rPr>
        <w:t>,)</w:t>
      </w:r>
      <w:r w:rsidRPr="007A2C81">
        <w:rPr>
          <w:sz w:val="24"/>
          <w:szCs w:val="24"/>
        </w:rPr>
        <w:t xml:space="preserve">. 2020a. </w:t>
      </w:r>
      <w:r w:rsidRPr="007A2C81">
        <w:rPr>
          <w:i/>
          <w:sz w:val="24"/>
          <w:szCs w:val="24"/>
        </w:rPr>
        <w:t>Language and Reality from a Naturalistic Perspective: Themes from Michael Devitt</w:t>
      </w:r>
      <w:r w:rsidR="00731E5C">
        <w:rPr>
          <w:sz w:val="24"/>
          <w:szCs w:val="24"/>
        </w:rPr>
        <w:t>.</w:t>
      </w:r>
      <w:r w:rsidRPr="007A2C81">
        <w:rPr>
          <w:sz w:val="24"/>
          <w:szCs w:val="24"/>
        </w:rPr>
        <w:t xml:space="preserve"> Cham: Springer. </w:t>
      </w:r>
    </w:p>
    <w:p w:rsidR="007A2C81" w:rsidRDefault="00B5061E" w:rsidP="007A2C81">
      <w:pPr>
        <w:pStyle w:val="FootnoteText"/>
        <w:ind w:left="720" w:hanging="720"/>
        <w:rPr>
          <w:sz w:val="24"/>
          <w:szCs w:val="24"/>
        </w:rPr>
      </w:pPr>
      <w:r w:rsidRPr="007A2C81">
        <w:rPr>
          <w:sz w:val="24"/>
          <w:szCs w:val="24"/>
        </w:rPr>
        <w:t>___. 2020b. “Reference and Causal Chains”. In Bianchi 2020a: ##</w:t>
      </w:r>
    </w:p>
    <w:p w:rsidR="007A2C81" w:rsidRPr="007A2C81" w:rsidRDefault="007A2C81" w:rsidP="007A2C81">
      <w:pPr>
        <w:pStyle w:val="FootnoteText"/>
        <w:ind w:left="720" w:hanging="720"/>
        <w:rPr>
          <w:sz w:val="24"/>
          <w:szCs w:val="24"/>
        </w:rPr>
      </w:pPr>
      <w:r>
        <w:rPr>
          <w:sz w:val="24"/>
          <w:szCs w:val="24"/>
        </w:rPr>
        <w:t>___</w:t>
      </w:r>
      <w:r w:rsidRPr="007A2C81">
        <w:rPr>
          <w:sz w:val="24"/>
          <w:szCs w:val="24"/>
        </w:rPr>
        <w:t>, and A</w:t>
      </w:r>
      <w:r>
        <w:rPr>
          <w:sz w:val="24"/>
          <w:szCs w:val="24"/>
        </w:rPr>
        <w:t>lessandro</w:t>
      </w:r>
      <w:r w:rsidRPr="007A2C81">
        <w:rPr>
          <w:sz w:val="24"/>
          <w:szCs w:val="24"/>
        </w:rPr>
        <w:t xml:space="preserve"> </w:t>
      </w:r>
      <w:proofErr w:type="spellStart"/>
      <w:r w:rsidRPr="007A2C81">
        <w:rPr>
          <w:sz w:val="24"/>
          <w:szCs w:val="24"/>
        </w:rPr>
        <w:t>Bonanini</w:t>
      </w:r>
      <w:proofErr w:type="spellEnd"/>
      <w:r w:rsidRPr="007A2C81">
        <w:rPr>
          <w:sz w:val="24"/>
          <w:szCs w:val="24"/>
        </w:rPr>
        <w:t xml:space="preserve">. 2014. </w:t>
      </w:r>
      <w:r w:rsidR="00731E5C">
        <w:rPr>
          <w:sz w:val="24"/>
          <w:szCs w:val="24"/>
        </w:rPr>
        <w:t>“Is There Room for Reference Borrowing in Donnellan’s H</w:t>
      </w:r>
      <w:r w:rsidRPr="007A2C81">
        <w:rPr>
          <w:sz w:val="24"/>
          <w:szCs w:val="24"/>
        </w:rPr>
        <w:t>istorical</w:t>
      </w:r>
      <w:r>
        <w:rPr>
          <w:sz w:val="24"/>
          <w:szCs w:val="24"/>
        </w:rPr>
        <w:t xml:space="preserve"> </w:t>
      </w:r>
      <w:r w:rsidR="00731E5C">
        <w:rPr>
          <w:sz w:val="24"/>
          <w:szCs w:val="24"/>
        </w:rPr>
        <w:t>Explanation T</w:t>
      </w:r>
      <w:r w:rsidRPr="007A2C81">
        <w:rPr>
          <w:sz w:val="24"/>
          <w:szCs w:val="24"/>
        </w:rPr>
        <w:t>heory?</w:t>
      </w:r>
      <w:r w:rsidR="00731E5C">
        <w:rPr>
          <w:sz w:val="24"/>
          <w:szCs w:val="24"/>
        </w:rPr>
        <w:t>”</w:t>
      </w:r>
      <w:r>
        <w:rPr>
          <w:sz w:val="24"/>
          <w:szCs w:val="24"/>
        </w:rPr>
        <w:t xml:space="preserve"> </w:t>
      </w:r>
      <w:r w:rsidRPr="007A2C81">
        <w:rPr>
          <w:i/>
          <w:iCs/>
          <w:sz w:val="24"/>
          <w:szCs w:val="24"/>
        </w:rPr>
        <w:t xml:space="preserve">Linguistics and Philosophy </w:t>
      </w:r>
      <w:r w:rsidRPr="007A2C81">
        <w:rPr>
          <w:sz w:val="24"/>
          <w:szCs w:val="24"/>
        </w:rPr>
        <w:t>37: 175–203.</w:t>
      </w:r>
    </w:p>
    <w:p w:rsidR="00B5061E" w:rsidRPr="007A2C81" w:rsidRDefault="00B5061E" w:rsidP="00B5061E">
      <w:pPr>
        <w:tabs>
          <w:tab w:val="left" w:pos="-720"/>
          <w:tab w:val="left" w:pos="0"/>
        </w:tabs>
        <w:spacing w:line="240" w:lineRule="atLeast"/>
        <w:ind w:left="720" w:hanging="720"/>
        <w:rPr>
          <w:rFonts w:eastAsia="Calibri"/>
          <w:spacing w:val="-3"/>
          <w:szCs w:val="24"/>
        </w:rPr>
      </w:pPr>
      <w:r w:rsidRPr="007A2C81">
        <w:rPr>
          <w:rFonts w:eastAsia="Calibri"/>
          <w:spacing w:val="-3"/>
          <w:szCs w:val="24"/>
        </w:rPr>
        <w:t>Blackburn, Thomas. 1988. “The Elusiveness of Reference</w:t>
      </w:r>
      <w:r w:rsidR="00731E5C">
        <w:rPr>
          <w:rFonts w:eastAsia="Calibri"/>
          <w:spacing w:val="-3"/>
          <w:szCs w:val="24"/>
        </w:rPr>
        <w:t>”</w:t>
      </w:r>
      <w:r w:rsidRPr="007A2C81">
        <w:rPr>
          <w:rFonts w:eastAsia="Calibri"/>
          <w:spacing w:val="-3"/>
          <w:szCs w:val="24"/>
        </w:rPr>
        <w:t>. In French</w:t>
      </w:r>
      <w:r w:rsidR="001455B6">
        <w:rPr>
          <w:rFonts w:eastAsia="Calibri"/>
          <w:szCs w:val="24"/>
        </w:rPr>
        <w:t xml:space="preserve"> et al.</w:t>
      </w:r>
      <w:r w:rsidRPr="007A2C81">
        <w:rPr>
          <w:rFonts w:eastAsia="Calibri"/>
          <w:spacing w:val="-3"/>
          <w:szCs w:val="24"/>
        </w:rPr>
        <w:t xml:space="preserve"> 1988: 179-94.</w:t>
      </w:r>
    </w:p>
    <w:p w:rsidR="00B5061E" w:rsidRPr="007A2C81" w:rsidRDefault="00B5061E" w:rsidP="00B5061E">
      <w:pPr>
        <w:tabs>
          <w:tab w:val="left" w:pos="-720"/>
          <w:tab w:val="left" w:pos="0"/>
        </w:tabs>
        <w:spacing w:line="240" w:lineRule="atLeast"/>
        <w:ind w:left="720" w:hanging="720"/>
        <w:rPr>
          <w:spacing w:val="-3"/>
          <w:szCs w:val="24"/>
        </w:rPr>
      </w:pPr>
      <w:r w:rsidRPr="007A2C81">
        <w:rPr>
          <w:spacing w:val="-3"/>
          <w:szCs w:val="24"/>
        </w:rPr>
        <w:t>Bloc</w:t>
      </w:r>
      <w:r w:rsidR="00920451">
        <w:rPr>
          <w:spacing w:val="-3"/>
          <w:szCs w:val="24"/>
        </w:rPr>
        <w:t>k, Ned. 1987</w:t>
      </w:r>
      <w:r w:rsidRPr="007A2C81">
        <w:rPr>
          <w:spacing w:val="-3"/>
          <w:szCs w:val="24"/>
        </w:rPr>
        <w:t>. “Advertisement for a Semantics for Psychology”. In Fre</w:t>
      </w:r>
      <w:r w:rsidR="00920451">
        <w:rPr>
          <w:spacing w:val="-3"/>
          <w:szCs w:val="24"/>
        </w:rPr>
        <w:t>nch,</w:t>
      </w:r>
      <w:r w:rsidR="001455B6">
        <w:rPr>
          <w:rFonts w:eastAsia="Calibri"/>
          <w:szCs w:val="24"/>
        </w:rPr>
        <w:t xml:space="preserve"> et al.</w:t>
      </w:r>
      <w:r w:rsidR="00920451">
        <w:rPr>
          <w:spacing w:val="-3"/>
          <w:szCs w:val="24"/>
        </w:rPr>
        <w:t xml:space="preserve"> 1987</w:t>
      </w:r>
      <w:r w:rsidRPr="007A2C81">
        <w:rPr>
          <w:spacing w:val="-3"/>
          <w:szCs w:val="24"/>
        </w:rPr>
        <w:t>: 615</w:t>
      </w:r>
      <w:r w:rsidRPr="007A2C81">
        <w:rPr>
          <w:spacing w:val="-3"/>
          <w:szCs w:val="24"/>
        </w:rPr>
        <w:noBreakHyphen/>
        <w:t>78.</w:t>
      </w:r>
    </w:p>
    <w:p w:rsidR="00B5061E" w:rsidRPr="007A2C81" w:rsidRDefault="00731E5C" w:rsidP="00B5061E">
      <w:pPr>
        <w:pStyle w:val="FootnoteText"/>
        <w:ind w:left="720" w:hanging="720"/>
        <w:rPr>
          <w:sz w:val="24"/>
          <w:szCs w:val="24"/>
        </w:rPr>
      </w:pPr>
      <w:r>
        <w:rPr>
          <w:sz w:val="24"/>
          <w:szCs w:val="24"/>
        </w:rPr>
        <w:t>Boer, Steven 1985: “</w:t>
      </w:r>
      <w:r w:rsidR="00B5061E" w:rsidRPr="007A2C81">
        <w:rPr>
          <w:sz w:val="24"/>
          <w:szCs w:val="24"/>
        </w:rPr>
        <w:t>Substance and Kind: Reflections</w:t>
      </w:r>
      <w:r>
        <w:rPr>
          <w:sz w:val="24"/>
          <w:szCs w:val="24"/>
        </w:rPr>
        <w:t xml:space="preserve"> on the New Theory of Reference”. I</w:t>
      </w:r>
      <w:r w:rsidR="00B5061E" w:rsidRPr="007A2C81">
        <w:rPr>
          <w:sz w:val="24"/>
          <w:szCs w:val="24"/>
        </w:rPr>
        <w:t xml:space="preserve">n M. K. </w:t>
      </w:r>
      <w:proofErr w:type="spellStart"/>
      <w:r w:rsidR="00B5061E" w:rsidRPr="007A2C81">
        <w:rPr>
          <w:sz w:val="24"/>
          <w:szCs w:val="24"/>
        </w:rPr>
        <w:t>Matilal</w:t>
      </w:r>
      <w:proofErr w:type="spellEnd"/>
      <w:r w:rsidR="00B5061E" w:rsidRPr="007A2C81">
        <w:rPr>
          <w:sz w:val="24"/>
          <w:szCs w:val="24"/>
        </w:rPr>
        <w:t xml:space="preserve"> and J. L. Shaw (eds.), </w:t>
      </w:r>
      <w:r w:rsidR="00B5061E" w:rsidRPr="007A2C81">
        <w:rPr>
          <w:i/>
          <w:sz w:val="24"/>
          <w:szCs w:val="24"/>
        </w:rPr>
        <w:t>Analytical Philosophy in Comparative Perspective</w:t>
      </w:r>
      <w:r>
        <w:rPr>
          <w:sz w:val="24"/>
          <w:szCs w:val="24"/>
        </w:rPr>
        <w:t xml:space="preserve">. Dordrecht: D. </w:t>
      </w:r>
      <w:proofErr w:type="spellStart"/>
      <w:r>
        <w:rPr>
          <w:sz w:val="24"/>
          <w:szCs w:val="24"/>
        </w:rPr>
        <w:t>Reidel</w:t>
      </w:r>
      <w:proofErr w:type="spellEnd"/>
      <w:r>
        <w:rPr>
          <w:sz w:val="24"/>
          <w:szCs w:val="24"/>
        </w:rPr>
        <w:t>:</w:t>
      </w:r>
      <w:r w:rsidR="00B5061E" w:rsidRPr="007A2C81">
        <w:rPr>
          <w:sz w:val="24"/>
          <w:szCs w:val="24"/>
        </w:rPr>
        <w:t xml:space="preserve"> 103-150.</w:t>
      </w:r>
    </w:p>
    <w:p w:rsidR="00B5061E" w:rsidRPr="007A2C81" w:rsidRDefault="00B5061E" w:rsidP="00B5061E">
      <w:pPr>
        <w:pStyle w:val="FootnoteText"/>
        <w:ind w:left="720" w:hanging="720"/>
        <w:rPr>
          <w:sz w:val="24"/>
          <w:szCs w:val="24"/>
        </w:rPr>
      </w:pPr>
      <w:r w:rsidRPr="007A2C81">
        <w:rPr>
          <w:sz w:val="24"/>
          <w:szCs w:val="24"/>
        </w:rPr>
        <w:t>Braun, David. 2020. “Still for Direct Reference”</w:t>
      </w:r>
      <w:r w:rsidR="00731E5C">
        <w:rPr>
          <w:sz w:val="24"/>
          <w:szCs w:val="24"/>
        </w:rPr>
        <w:t>.</w:t>
      </w:r>
      <w:r w:rsidRPr="007A2C81">
        <w:rPr>
          <w:sz w:val="24"/>
          <w:szCs w:val="24"/>
        </w:rPr>
        <w:t xml:space="preserve"> In Bianchi 2020a: ##</w:t>
      </w:r>
    </w:p>
    <w:p w:rsidR="00B5061E" w:rsidRPr="007A2C81" w:rsidRDefault="00731E5C" w:rsidP="00B5061E">
      <w:pPr>
        <w:pStyle w:val="FootnoteText"/>
        <w:ind w:left="720" w:hanging="720"/>
        <w:rPr>
          <w:sz w:val="24"/>
          <w:szCs w:val="24"/>
        </w:rPr>
      </w:pPr>
      <w:r>
        <w:rPr>
          <w:sz w:val="24"/>
          <w:szCs w:val="24"/>
        </w:rPr>
        <w:t>Cook, Monte. 1980. “If ‘Cat’</w:t>
      </w:r>
      <w:r w:rsidR="00B5061E" w:rsidRPr="007A2C81">
        <w:rPr>
          <w:sz w:val="24"/>
          <w:szCs w:val="24"/>
        </w:rPr>
        <w:t xml:space="preserve"> is a Rigid Designator, What Does </w:t>
      </w:r>
      <w:proofErr w:type="gramStart"/>
      <w:r w:rsidR="00B5061E" w:rsidRPr="007A2C81">
        <w:rPr>
          <w:sz w:val="24"/>
          <w:szCs w:val="24"/>
        </w:rPr>
        <w:t>it</w:t>
      </w:r>
      <w:proofErr w:type="gramEnd"/>
      <w:r w:rsidR="00B5061E" w:rsidRPr="007A2C81">
        <w:rPr>
          <w:sz w:val="24"/>
          <w:szCs w:val="24"/>
        </w:rPr>
        <w:t xml:space="preserve"> Designate?', </w:t>
      </w:r>
      <w:r w:rsidR="00B5061E" w:rsidRPr="007A2C81">
        <w:rPr>
          <w:i/>
          <w:sz w:val="24"/>
          <w:szCs w:val="24"/>
        </w:rPr>
        <w:t>Philosophical Studies</w:t>
      </w:r>
      <w:r>
        <w:rPr>
          <w:sz w:val="24"/>
          <w:szCs w:val="24"/>
        </w:rPr>
        <w:t xml:space="preserve"> 37:</w:t>
      </w:r>
      <w:r w:rsidR="00B5061E" w:rsidRPr="007A2C81">
        <w:rPr>
          <w:sz w:val="24"/>
          <w:szCs w:val="24"/>
        </w:rPr>
        <w:t xml:space="preserve"> 61-64.</w:t>
      </w:r>
    </w:p>
    <w:p w:rsidR="00B5061E" w:rsidRPr="007A2C81" w:rsidRDefault="00B5061E" w:rsidP="00B5061E">
      <w:pPr>
        <w:tabs>
          <w:tab w:val="left" w:pos="-720"/>
          <w:tab w:val="left" w:pos="0"/>
        </w:tabs>
        <w:spacing w:line="240" w:lineRule="atLeast"/>
        <w:ind w:left="720" w:hanging="720"/>
        <w:rPr>
          <w:spacing w:val="-3"/>
          <w:szCs w:val="24"/>
        </w:rPr>
      </w:pPr>
      <w:r w:rsidRPr="007A2C81">
        <w:rPr>
          <w:szCs w:val="24"/>
        </w:rPr>
        <w:t>Davidson</w:t>
      </w:r>
      <w:r w:rsidR="00731E5C">
        <w:rPr>
          <w:szCs w:val="24"/>
        </w:rPr>
        <w:t>, Donald, and Gilbert Harman</w:t>
      </w:r>
      <w:r w:rsidRPr="007A2C81">
        <w:rPr>
          <w:szCs w:val="24"/>
        </w:rPr>
        <w:t xml:space="preserve"> </w:t>
      </w:r>
      <w:r w:rsidR="00731E5C">
        <w:rPr>
          <w:szCs w:val="24"/>
        </w:rPr>
        <w:t>(</w:t>
      </w:r>
      <w:r w:rsidRPr="007A2C81">
        <w:rPr>
          <w:szCs w:val="24"/>
        </w:rPr>
        <w:t>eds.</w:t>
      </w:r>
      <w:r w:rsidR="00731E5C">
        <w:rPr>
          <w:szCs w:val="24"/>
        </w:rPr>
        <w:t>).</w:t>
      </w:r>
      <w:r w:rsidRPr="007A2C81">
        <w:rPr>
          <w:szCs w:val="24"/>
        </w:rPr>
        <w:t xml:space="preserve"> 1972. </w:t>
      </w:r>
      <w:r w:rsidRPr="007A2C81">
        <w:rPr>
          <w:i/>
          <w:szCs w:val="24"/>
        </w:rPr>
        <w:t>Semantics of Natural Language</w:t>
      </w:r>
      <w:r w:rsidRPr="007A2C81">
        <w:rPr>
          <w:szCs w:val="24"/>
        </w:rPr>
        <w:t xml:space="preserve">. Dordrecht: D. </w:t>
      </w:r>
      <w:proofErr w:type="spellStart"/>
      <w:r w:rsidRPr="007A2C81">
        <w:rPr>
          <w:szCs w:val="24"/>
        </w:rPr>
        <w:t>Reidel</w:t>
      </w:r>
      <w:proofErr w:type="spellEnd"/>
      <w:r w:rsidRPr="007A2C81">
        <w:rPr>
          <w:spacing w:val="-3"/>
          <w:szCs w:val="24"/>
        </w:rPr>
        <w:t>.</w:t>
      </w:r>
    </w:p>
    <w:p w:rsidR="00B5061E" w:rsidRPr="007A2C81" w:rsidRDefault="00B5061E" w:rsidP="00B5061E">
      <w:pPr>
        <w:tabs>
          <w:tab w:val="left" w:pos="-720"/>
          <w:tab w:val="left" w:pos="0"/>
        </w:tabs>
        <w:spacing w:line="240" w:lineRule="atLeast"/>
        <w:ind w:left="720" w:hanging="720"/>
        <w:rPr>
          <w:spacing w:val="-3"/>
          <w:szCs w:val="24"/>
        </w:rPr>
      </w:pPr>
      <w:r w:rsidRPr="007A2C81">
        <w:rPr>
          <w:spacing w:val="-3"/>
          <w:szCs w:val="24"/>
        </w:rPr>
        <w:t xml:space="preserve">Devitt, Michael. 1972. </w:t>
      </w:r>
      <w:r w:rsidRPr="007A2C81">
        <w:rPr>
          <w:szCs w:val="24"/>
        </w:rPr>
        <w:t>“The Semantics of Proper Names: A Causal Theory”. Harvard PhD dissertation.</w:t>
      </w:r>
      <w:r w:rsidRPr="007A2C81">
        <w:rPr>
          <w:spacing w:val="-3"/>
          <w:szCs w:val="24"/>
        </w:rPr>
        <w:t xml:space="preserve"> </w:t>
      </w:r>
    </w:p>
    <w:p w:rsidR="00B5061E" w:rsidRPr="007A2C81" w:rsidRDefault="00B5061E" w:rsidP="00B5061E">
      <w:pPr>
        <w:tabs>
          <w:tab w:val="left" w:pos="-720"/>
          <w:tab w:val="left" w:pos="0"/>
        </w:tabs>
        <w:spacing w:line="240" w:lineRule="atLeast"/>
        <w:ind w:left="720" w:hanging="720"/>
        <w:rPr>
          <w:szCs w:val="24"/>
        </w:rPr>
      </w:pPr>
      <w:r w:rsidRPr="007A2C81">
        <w:rPr>
          <w:spacing w:val="-3"/>
          <w:szCs w:val="24"/>
        </w:rPr>
        <w:t xml:space="preserve">___. </w:t>
      </w:r>
      <w:r w:rsidRPr="007A2C81">
        <w:rPr>
          <w:szCs w:val="24"/>
        </w:rPr>
        <w:t xml:space="preserve">1974. “Singular Terms”. </w:t>
      </w:r>
      <w:r w:rsidRPr="007A2C81">
        <w:rPr>
          <w:i/>
          <w:szCs w:val="24"/>
        </w:rPr>
        <w:t>Journal of Philosophy</w:t>
      </w:r>
      <w:r w:rsidRPr="007A2C81">
        <w:rPr>
          <w:szCs w:val="24"/>
        </w:rPr>
        <w:t xml:space="preserve"> LXXI: 183</w:t>
      </w:r>
      <w:r w:rsidRPr="007A2C81">
        <w:rPr>
          <w:szCs w:val="24"/>
        </w:rPr>
        <w:noBreakHyphen/>
        <w:t>205.</w:t>
      </w:r>
    </w:p>
    <w:p w:rsidR="00B5061E" w:rsidRPr="007A2C81" w:rsidRDefault="00B5061E" w:rsidP="00B5061E">
      <w:pPr>
        <w:tabs>
          <w:tab w:val="left" w:pos="-720"/>
          <w:tab w:val="left" w:pos="0"/>
        </w:tabs>
        <w:spacing w:line="240" w:lineRule="atLeast"/>
        <w:ind w:left="720" w:hanging="720"/>
        <w:rPr>
          <w:szCs w:val="24"/>
        </w:rPr>
      </w:pPr>
      <w:r w:rsidRPr="007A2C81">
        <w:rPr>
          <w:szCs w:val="24"/>
        </w:rPr>
        <w:t xml:space="preserve">___. 1980. “Brian </w:t>
      </w:r>
      <w:proofErr w:type="spellStart"/>
      <w:r w:rsidRPr="007A2C81">
        <w:rPr>
          <w:szCs w:val="24"/>
        </w:rPr>
        <w:t>Loar</w:t>
      </w:r>
      <w:proofErr w:type="spellEnd"/>
      <w:r w:rsidRPr="007A2C81">
        <w:rPr>
          <w:szCs w:val="24"/>
        </w:rPr>
        <w:t xml:space="preserve"> on Singular Terms”. </w:t>
      </w:r>
      <w:r w:rsidRPr="007A2C81">
        <w:rPr>
          <w:i/>
          <w:szCs w:val="24"/>
        </w:rPr>
        <w:t>Philosophical Studies</w:t>
      </w:r>
      <w:r w:rsidRPr="007A2C81">
        <w:rPr>
          <w:szCs w:val="24"/>
        </w:rPr>
        <w:t xml:space="preserve"> 37: 271-80.</w:t>
      </w:r>
    </w:p>
    <w:p w:rsidR="00B5061E" w:rsidRPr="007A2C81" w:rsidRDefault="00B5061E" w:rsidP="00B5061E">
      <w:pPr>
        <w:tabs>
          <w:tab w:val="left" w:pos="-720"/>
          <w:tab w:val="left" w:pos="0"/>
        </w:tabs>
        <w:spacing w:line="240" w:lineRule="atLeast"/>
        <w:ind w:left="720" w:hanging="720"/>
        <w:rPr>
          <w:spacing w:val="-3"/>
          <w:szCs w:val="24"/>
        </w:rPr>
      </w:pPr>
      <w:r w:rsidRPr="007A2C81">
        <w:rPr>
          <w:szCs w:val="24"/>
        </w:rPr>
        <w:t xml:space="preserve">___. </w:t>
      </w:r>
      <w:r w:rsidRPr="007A2C81">
        <w:rPr>
          <w:spacing w:val="-3"/>
          <w:szCs w:val="24"/>
        </w:rPr>
        <w:t xml:space="preserve">1981a. </w:t>
      </w:r>
      <w:r w:rsidRPr="007A2C81">
        <w:rPr>
          <w:i/>
          <w:spacing w:val="-3"/>
          <w:szCs w:val="24"/>
        </w:rPr>
        <w:t>Designation</w:t>
      </w:r>
      <w:r w:rsidRPr="007A2C81">
        <w:rPr>
          <w:spacing w:val="-3"/>
          <w:szCs w:val="24"/>
        </w:rPr>
        <w:t>. New York: Columbia University Press.</w:t>
      </w:r>
    </w:p>
    <w:p w:rsidR="00B5061E" w:rsidRPr="007A2C81" w:rsidRDefault="00B5061E" w:rsidP="00B5061E">
      <w:pPr>
        <w:tabs>
          <w:tab w:val="left" w:pos="-720"/>
          <w:tab w:val="left" w:pos="0"/>
        </w:tabs>
        <w:ind w:left="720" w:hanging="720"/>
        <w:rPr>
          <w:spacing w:val="-3"/>
          <w:szCs w:val="24"/>
        </w:rPr>
      </w:pPr>
      <w:r w:rsidRPr="007A2C81">
        <w:rPr>
          <w:spacing w:val="-3"/>
          <w:szCs w:val="24"/>
        </w:rPr>
        <w:t>___. 1981b. “Donnellan's Distinction”. In French</w:t>
      </w:r>
      <w:r w:rsidR="001455B6">
        <w:rPr>
          <w:rFonts w:eastAsia="Calibri"/>
          <w:szCs w:val="24"/>
        </w:rPr>
        <w:t xml:space="preserve"> et al.</w:t>
      </w:r>
      <w:r w:rsidRPr="007A2C81">
        <w:rPr>
          <w:spacing w:val="-3"/>
          <w:szCs w:val="24"/>
        </w:rPr>
        <w:t xml:space="preserve"> 1981: 511</w:t>
      </w:r>
      <w:r w:rsidRPr="007A2C81">
        <w:rPr>
          <w:spacing w:val="-3"/>
          <w:szCs w:val="24"/>
        </w:rPr>
        <w:noBreakHyphen/>
        <w:t>24.</w:t>
      </w:r>
    </w:p>
    <w:p w:rsidR="00B5061E" w:rsidRPr="007A2C81" w:rsidRDefault="00B5061E" w:rsidP="00B5061E">
      <w:pPr>
        <w:tabs>
          <w:tab w:val="left" w:pos="-720"/>
          <w:tab w:val="left" w:pos="0"/>
        </w:tabs>
        <w:ind w:left="720" w:hanging="720"/>
        <w:rPr>
          <w:spacing w:val="-3"/>
          <w:szCs w:val="24"/>
        </w:rPr>
      </w:pPr>
      <w:r w:rsidRPr="007A2C81">
        <w:rPr>
          <w:spacing w:val="-3"/>
          <w:szCs w:val="24"/>
        </w:rPr>
        <w:lastRenderedPageBreak/>
        <w:t xml:space="preserve">___. 1985. Critical Notice of Evans’ </w:t>
      </w:r>
      <w:r w:rsidRPr="007A2C81">
        <w:rPr>
          <w:i/>
          <w:spacing w:val="-3"/>
          <w:szCs w:val="24"/>
        </w:rPr>
        <w:t>The Varieties of Reference</w:t>
      </w:r>
      <w:r w:rsidRPr="007A2C81">
        <w:rPr>
          <w:spacing w:val="-3"/>
          <w:szCs w:val="24"/>
        </w:rPr>
        <w:t xml:space="preserve"> 1982. </w:t>
      </w:r>
      <w:r w:rsidRPr="007A2C81">
        <w:rPr>
          <w:i/>
          <w:spacing w:val="-3"/>
          <w:szCs w:val="24"/>
        </w:rPr>
        <w:t>Australasian Journal of Philosophy</w:t>
      </w:r>
      <w:r w:rsidRPr="007A2C81">
        <w:rPr>
          <w:spacing w:val="-3"/>
          <w:szCs w:val="24"/>
        </w:rPr>
        <w:t xml:space="preserve"> 63: 216-32.</w:t>
      </w:r>
    </w:p>
    <w:p w:rsidR="00B5061E" w:rsidRPr="007A2C81" w:rsidRDefault="00B5061E" w:rsidP="00B5061E">
      <w:pPr>
        <w:tabs>
          <w:tab w:val="left" w:pos="-720"/>
          <w:tab w:val="left" w:pos="0"/>
        </w:tabs>
        <w:ind w:left="720" w:hanging="720"/>
        <w:rPr>
          <w:szCs w:val="24"/>
        </w:rPr>
      </w:pPr>
      <w:r w:rsidRPr="007A2C81">
        <w:rPr>
          <w:szCs w:val="24"/>
        </w:rPr>
        <w:t>___. 1989. “Against Direct Reference”. In French</w:t>
      </w:r>
      <w:r w:rsidR="001455B6">
        <w:rPr>
          <w:rFonts w:eastAsia="Calibri"/>
          <w:szCs w:val="24"/>
        </w:rPr>
        <w:t xml:space="preserve"> et al.</w:t>
      </w:r>
      <w:r w:rsidRPr="007A2C81">
        <w:rPr>
          <w:szCs w:val="24"/>
        </w:rPr>
        <w:t xml:space="preserve"> 1989: 206-40.</w:t>
      </w:r>
    </w:p>
    <w:p w:rsidR="00B5061E" w:rsidRPr="007A2C81" w:rsidRDefault="00B5061E" w:rsidP="00B5061E">
      <w:pPr>
        <w:tabs>
          <w:tab w:val="left" w:pos="-720"/>
          <w:tab w:val="left" w:pos="0"/>
        </w:tabs>
        <w:suppressAutoHyphens/>
        <w:ind w:left="720" w:hanging="720"/>
        <w:rPr>
          <w:spacing w:val="-3"/>
          <w:szCs w:val="24"/>
        </w:rPr>
      </w:pPr>
      <w:r w:rsidRPr="007A2C81">
        <w:rPr>
          <w:spacing w:val="-3"/>
          <w:szCs w:val="24"/>
        </w:rPr>
        <w:t xml:space="preserve">___. 1996. </w:t>
      </w:r>
      <w:r w:rsidRPr="007A2C81">
        <w:rPr>
          <w:i/>
          <w:spacing w:val="-3"/>
          <w:szCs w:val="24"/>
        </w:rPr>
        <w:t>Coming to Our Senses:</w:t>
      </w:r>
      <w:r w:rsidR="009B6C49">
        <w:rPr>
          <w:i/>
          <w:spacing w:val="-3"/>
          <w:szCs w:val="24"/>
        </w:rPr>
        <w:t xml:space="preserve"> </w:t>
      </w:r>
      <w:r w:rsidRPr="007A2C81">
        <w:rPr>
          <w:i/>
          <w:spacing w:val="-3"/>
          <w:szCs w:val="24"/>
        </w:rPr>
        <w:t>A Naturalistic Program for Semantic Localism</w:t>
      </w:r>
      <w:r w:rsidRPr="007A2C81">
        <w:rPr>
          <w:spacing w:val="-3"/>
          <w:szCs w:val="24"/>
        </w:rPr>
        <w:t>, Cambridge: Cambridge University Press.</w:t>
      </w:r>
    </w:p>
    <w:p w:rsidR="00B5061E" w:rsidRPr="007A2C81" w:rsidRDefault="00B5061E" w:rsidP="00B5061E">
      <w:pPr>
        <w:tabs>
          <w:tab w:val="left" w:pos="-720"/>
          <w:tab w:val="left" w:pos="0"/>
        </w:tabs>
        <w:ind w:left="720" w:hanging="720"/>
        <w:rPr>
          <w:spacing w:val="-3"/>
          <w:szCs w:val="24"/>
        </w:rPr>
      </w:pPr>
      <w:r w:rsidRPr="007A2C81">
        <w:rPr>
          <w:spacing w:val="-3"/>
          <w:szCs w:val="24"/>
        </w:rPr>
        <w:t xml:space="preserve">___. 2001. “A Shocking Idea about Meaning”. </w:t>
      </w:r>
      <w:r w:rsidRPr="007A2C81">
        <w:rPr>
          <w:i/>
          <w:spacing w:val="-3"/>
          <w:szCs w:val="24"/>
        </w:rPr>
        <w:t xml:space="preserve">Revue </w:t>
      </w:r>
      <w:proofErr w:type="spellStart"/>
      <w:r w:rsidRPr="007A2C81">
        <w:rPr>
          <w:i/>
          <w:spacing w:val="-3"/>
          <w:szCs w:val="24"/>
        </w:rPr>
        <w:t>Internationale</w:t>
      </w:r>
      <w:proofErr w:type="spellEnd"/>
      <w:r w:rsidRPr="007A2C81">
        <w:rPr>
          <w:i/>
          <w:spacing w:val="-3"/>
          <w:szCs w:val="24"/>
        </w:rPr>
        <w:t xml:space="preserve"> de </w:t>
      </w:r>
      <w:proofErr w:type="spellStart"/>
      <w:r w:rsidRPr="007A2C81">
        <w:rPr>
          <w:i/>
          <w:spacing w:val="-3"/>
          <w:szCs w:val="24"/>
        </w:rPr>
        <w:t>Philosophie</w:t>
      </w:r>
      <w:proofErr w:type="spellEnd"/>
      <w:r w:rsidRPr="007A2C81">
        <w:rPr>
          <w:spacing w:val="-3"/>
          <w:szCs w:val="24"/>
        </w:rPr>
        <w:t xml:space="preserve"> 208: 449-72.</w:t>
      </w:r>
    </w:p>
    <w:p w:rsidR="00B5061E" w:rsidRPr="007A2C81" w:rsidRDefault="00B5061E" w:rsidP="00B5061E">
      <w:pPr>
        <w:tabs>
          <w:tab w:val="left" w:pos="-720"/>
          <w:tab w:val="left" w:pos="0"/>
        </w:tabs>
        <w:suppressAutoHyphens/>
        <w:ind w:left="720" w:hanging="720"/>
        <w:jc w:val="both"/>
        <w:rPr>
          <w:rFonts w:cs="Times New Roman"/>
          <w:spacing w:val="-3"/>
          <w:szCs w:val="24"/>
        </w:rPr>
      </w:pPr>
      <w:r w:rsidRPr="007A2C81">
        <w:rPr>
          <w:rFonts w:cs="Times New Roman"/>
          <w:spacing w:val="-3"/>
          <w:szCs w:val="24"/>
        </w:rPr>
        <w:t xml:space="preserve">___. 2002 “Meaning and Use”. </w:t>
      </w:r>
      <w:r w:rsidRPr="007A2C81">
        <w:rPr>
          <w:rFonts w:cs="Times New Roman"/>
          <w:i/>
          <w:spacing w:val="-3"/>
          <w:szCs w:val="24"/>
        </w:rPr>
        <w:t>Philosophy and Phenomenological Research</w:t>
      </w:r>
      <w:r w:rsidRPr="007A2C81">
        <w:rPr>
          <w:rFonts w:cs="Times New Roman"/>
          <w:spacing w:val="-3"/>
          <w:szCs w:val="24"/>
        </w:rPr>
        <w:t xml:space="preserve"> 65, 106–21.</w:t>
      </w:r>
    </w:p>
    <w:p w:rsidR="00B5061E" w:rsidRPr="007A2C81" w:rsidRDefault="00B5061E" w:rsidP="00731E5C">
      <w:pPr>
        <w:tabs>
          <w:tab w:val="left" w:pos="-720"/>
        </w:tabs>
        <w:spacing w:line="240" w:lineRule="atLeast"/>
        <w:ind w:left="720" w:hanging="720"/>
        <w:rPr>
          <w:spacing w:val="-3"/>
          <w:szCs w:val="24"/>
        </w:rPr>
      </w:pPr>
      <w:r w:rsidRPr="007A2C81">
        <w:rPr>
          <w:spacing w:val="-3"/>
          <w:szCs w:val="24"/>
        </w:rPr>
        <w:t>___. 2004. “The Case for Referential Descriptions”. In</w:t>
      </w:r>
      <w:r w:rsidR="00731E5C">
        <w:rPr>
          <w:spacing w:val="-3"/>
          <w:szCs w:val="24"/>
        </w:rPr>
        <w:t xml:space="preserve"> Marga</w:t>
      </w:r>
      <w:r w:rsidRPr="007A2C81">
        <w:rPr>
          <w:spacing w:val="-3"/>
          <w:szCs w:val="24"/>
        </w:rPr>
        <w:t xml:space="preserve"> </w:t>
      </w:r>
      <w:r w:rsidR="00731E5C" w:rsidRPr="007A2C81">
        <w:rPr>
          <w:spacing w:val="-3"/>
          <w:szCs w:val="24"/>
        </w:rPr>
        <w:t>Reimer</w:t>
      </w:r>
      <w:r w:rsidR="00731E5C">
        <w:rPr>
          <w:spacing w:val="-3"/>
          <w:szCs w:val="24"/>
        </w:rPr>
        <w:t xml:space="preserve"> and Anne </w:t>
      </w:r>
      <w:proofErr w:type="spellStart"/>
      <w:r w:rsidR="00731E5C">
        <w:rPr>
          <w:spacing w:val="-3"/>
          <w:szCs w:val="24"/>
        </w:rPr>
        <w:t>Bezuidenhout</w:t>
      </w:r>
      <w:proofErr w:type="spellEnd"/>
      <w:r w:rsidR="00731E5C">
        <w:rPr>
          <w:spacing w:val="-3"/>
          <w:szCs w:val="24"/>
        </w:rPr>
        <w:t xml:space="preserve"> (</w:t>
      </w:r>
      <w:r w:rsidR="00731E5C" w:rsidRPr="007A2C81">
        <w:rPr>
          <w:spacing w:val="-3"/>
          <w:szCs w:val="24"/>
        </w:rPr>
        <w:t>eds.</w:t>
      </w:r>
      <w:r w:rsidR="00731E5C">
        <w:rPr>
          <w:spacing w:val="-3"/>
          <w:szCs w:val="24"/>
        </w:rPr>
        <w:t>),</w:t>
      </w:r>
      <w:r w:rsidR="00731E5C" w:rsidRPr="007A2C81">
        <w:rPr>
          <w:spacing w:val="-3"/>
          <w:szCs w:val="24"/>
        </w:rPr>
        <w:t xml:space="preserve"> </w:t>
      </w:r>
      <w:r w:rsidR="00731E5C" w:rsidRPr="007A2C81">
        <w:rPr>
          <w:i/>
          <w:spacing w:val="-3"/>
          <w:szCs w:val="24"/>
        </w:rPr>
        <w:t>Descriptions and Beyond</w:t>
      </w:r>
      <w:r w:rsidR="00731E5C" w:rsidRPr="007A2C81">
        <w:rPr>
          <w:spacing w:val="-3"/>
          <w:szCs w:val="24"/>
        </w:rPr>
        <w:t>. Oxford: Clarendon Press</w:t>
      </w:r>
      <w:r w:rsidRPr="007A2C81">
        <w:rPr>
          <w:spacing w:val="-3"/>
          <w:szCs w:val="24"/>
        </w:rPr>
        <w:t>: 280-305.</w:t>
      </w:r>
    </w:p>
    <w:p w:rsidR="00B5061E" w:rsidRPr="007A2C81" w:rsidRDefault="00B5061E" w:rsidP="00B5061E">
      <w:pPr>
        <w:tabs>
          <w:tab w:val="left" w:pos="-720"/>
          <w:tab w:val="left" w:pos="0"/>
        </w:tabs>
        <w:spacing w:line="240" w:lineRule="atLeast"/>
        <w:ind w:left="720" w:hanging="720"/>
        <w:rPr>
          <w:spacing w:val="-3"/>
          <w:szCs w:val="24"/>
        </w:rPr>
      </w:pPr>
      <w:r w:rsidRPr="007A2C81">
        <w:rPr>
          <w:spacing w:val="-3"/>
          <w:szCs w:val="24"/>
        </w:rPr>
        <w:t xml:space="preserve">___. 2005. “Rigid Application”. </w:t>
      </w:r>
      <w:r w:rsidRPr="007A2C81">
        <w:rPr>
          <w:i/>
          <w:spacing w:val="-3"/>
          <w:szCs w:val="24"/>
        </w:rPr>
        <w:t>Philosophical Studies</w:t>
      </w:r>
      <w:r w:rsidRPr="007A2C81">
        <w:rPr>
          <w:spacing w:val="-3"/>
          <w:szCs w:val="24"/>
        </w:rPr>
        <w:t xml:space="preserve"> 125: 139-65.</w:t>
      </w:r>
    </w:p>
    <w:p w:rsidR="00B5061E" w:rsidRPr="007A2C81" w:rsidRDefault="00B5061E" w:rsidP="00B5061E">
      <w:pPr>
        <w:tabs>
          <w:tab w:val="left" w:pos="-720"/>
          <w:tab w:val="left" w:pos="0"/>
          <w:tab w:val="left" w:pos="720"/>
        </w:tabs>
        <w:suppressAutoHyphens/>
        <w:ind w:left="720" w:hanging="720"/>
        <w:rPr>
          <w:rFonts w:cs="Times New Roman"/>
          <w:spacing w:val="-3"/>
          <w:szCs w:val="24"/>
        </w:rPr>
      </w:pPr>
      <w:r w:rsidRPr="007A2C81">
        <w:rPr>
          <w:rFonts w:cs="Times New Roman"/>
          <w:spacing w:val="-3"/>
          <w:szCs w:val="24"/>
        </w:rPr>
        <w:t xml:space="preserve">___. 2008. “Resurrecting Biological Essentialism”. </w:t>
      </w:r>
      <w:r w:rsidRPr="007A2C81">
        <w:rPr>
          <w:rFonts w:cs="Times New Roman"/>
          <w:i/>
          <w:spacing w:val="-3"/>
          <w:szCs w:val="24"/>
        </w:rPr>
        <w:t>Philosophy of Science</w:t>
      </w:r>
      <w:r w:rsidRPr="007A2C81">
        <w:rPr>
          <w:rFonts w:cs="Times New Roman"/>
          <w:spacing w:val="-3"/>
          <w:szCs w:val="24"/>
        </w:rPr>
        <w:t xml:space="preserve"> 75: 344-82. Reprinted with additional footnotes in Devitt 2010: 213-49.</w:t>
      </w:r>
    </w:p>
    <w:p w:rsidR="00B5061E" w:rsidRDefault="00B5061E" w:rsidP="00B5061E">
      <w:pPr>
        <w:tabs>
          <w:tab w:val="left" w:pos="-720"/>
          <w:tab w:val="left" w:pos="0"/>
        </w:tabs>
        <w:suppressAutoHyphens/>
        <w:spacing w:line="240" w:lineRule="atLeast"/>
        <w:ind w:left="720" w:hanging="720"/>
        <w:rPr>
          <w:spacing w:val="-3"/>
          <w:szCs w:val="24"/>
        </w:rPr>
      </w:pPr>
      <w:r w:rsidRPr="007A2C81">
        <w:rPr>
          <w:spacing w:val="-3"/>
          <w:szCs w:val="24"/>
        </w:rPr>
        <w:t xml:space="preserve">___. 2010. </w:t>
      </w:r>
      <w:r w:rsidRPr="007A2C81">
        <w:rPr>
          <w:i/>
          <w:spacing w:val="-3"/>
          <w:szCs w:val="24"/>
        </w:rPr>
        <w:t>Putting metaphysics first: essays on metaphysics and epistemology</w:t>
      </w:r>
      <w:r w:rsidRPr="007A2C81">
        <w:rPr>
          <w:spacing w:val="-3"/>
          <w:szCs w:val="24"/>
        </w:rPr>
        <w:t>. Oxford: Oxford University Press.</w:t>
      </w:r>
    </w:p>
    <w:p w:rsidR="004B6EDA" w:rsidRPr="007A2C81" w:rsidRDefault="004B6EDA" w:rsidP="00B5061E">
      <w:pPr>
        <w:tabs>
          <w:tab w:val="left" w:pos="-720"/>
          <w:tab w:val="left" w:pos="0"/>
        </w:tabs>
        <w:suppressAutoHyphens/>
        <w:spacing w:line="240" w:lineRule="atLeast"/>
        <w:ind w:left="720" w:hanging="720"/>
        <w:rPr>
          <w:spacing w:val="-3"/>
          <w:szCs w:val="24"/>
        </w:rPr>
      </w:pPr>
      <w:r>
        <w:rPr>
          <w:spacing w:val="-3"/>
          <w:szCs w:val="24"/>
        </w:rPr>
        <w:t xml:space="preserve">___. 2011a. </w:t>
      </w:r>
      <w:r w:rsidRPr="004B6EDA">
        <w:rPr>
          <w:spacing w:val="-3"/>
          <w:szCs w:val="24"/>
        </w:rPr>
        <w:t xml:space="preserve">“Deference and the Use Theory”. </w:t>
      </w:r>
      <w:proofErr w:type="spellStart"/>
      <w:r w:rsidRPr="004B6EDA">
        <w:rPr>
          <w:i/>
          <w:spacing w:val="-3"/>
          <w:szCs w:val="24"/>
        </w:rPr>
        <w:t>ProtoSociology</w:t>
      </w:r>
      <w:proofErr w:type="spellEnd"/>
      <w:r w:rsidR="00731E5C">
        <w:rPr>
          <w:spacing w:val="-3"/>
          <w:szCs w:val="24"/>
        </w:rPr>
        <w:t xml:space="preserve"> 27:</w:t>
      </w:r>
      <w:r w:rsidR="00762CDB">
        <w:rPr>
          <w:spacing w:val="-3"/>
          <w:szCs w:val="24"/>
        </w:rPr>
        <w:t xml:space="preserve"> </w:t>
      </w:r>
      <w:r w:rsidRPr="004B6EDA">
        <w:rPr>
          <w:spacing w:val="-3"/>
          <w:szCs w:val="24"/>
        </w:rPr>
        <w:t>196-211.</w:t>
      </w:r>
    </w:p>
    <w:p w:rsidR="00B5061E" w:rsidRDefault="00B5061E" w:rsidP="00B5061E">
      <w:pPr>
        <w:tabs>
          <w:tab w:val="left" w:pos="-720"/>
          <w:tab w:val="left" w:pos="0"/>
        </w:tabs>
        <w:suppressAutoHyphens/>
        <w:spacing w:line="240" w:lineRule="atLeast"/>
        <w:ind w:left="720" w:hanging="720"/>
        <w:rPr>
          <w:spacing w:val="-3"/>
          <w:szCs w:val="24"/>
        </w:rPr>
      </w:pPr>
      <w:r w:rsidRPr="007A2C81">
        <w:rPr>
          <w:spacing w:val="-3"/>
          <w:szCs w:val="24"/>
        </w:rPr>
        <w:t>___. 2011</w:t>
      </w:r>
      <w:r w:rsidR="004B6EDA">
        <w:rPr>
          <w:spacing w:val="-3"/>
          <w:szCs w:val="24"/>
        </w:rPr>
        <w:t>b</w:t>
      </w:r>
      <w:r w:rsidRPr="007A2C81">
        <w:rPr>
          <w:spacing w:val="-3"/>
          <w:szCs w:val="24"/>
        </w:rPr>
        <w:t xml:space="preserve">. </w:t>
      </w:r>
      <w:r w:rsidR="00762CDB">
        <w:rPr>
          <w:spacing w:val="-3"/>
          <w:szCs w:val="24"/>
        </w:rPr>
        <w:t>“</w:t>
      </w:r>
      <w:r w:rsidRPr="007A2C81">
        <w:rPr>
          <w:spacing w:val="-3"/>
          <w:szCs w:val="24"/>
        </w:rPr>
        <w:t>Experimental semantics</w:t>
      </w:r>
      <w:r w:rsidR="00762CDB">
        <w:rPr>
          <w:spacing w:val="-3"/>
          <w:szCs w:val="24"/>
        </w:rPr>
        <w:t>”</w:t>
      </w:r>
      <w:r w:rsidRPr="007A2C81">
        <w:rPr>
          <w:spacing w:val="-3"/>
          <w:szCs w:val="24"/>
        </w:rPr>
        <w:t xml:space="preserve">. </w:t>
      </w:r>
      <w:r w:rsidRPr="007A2C81">
        <w:rPr>
          <w:i/>
          <w:spacing w:val="-3"/>
          <w:szCs w:val="24"/>
        </w:rPr>
        <w:t>Philosophy and Phenomenological Research</w:t>
      </w:r>
      <w:r w:rsidR="00762CDB">
        <w:rPr>
          <w:spacing w:val="-3"/>
          <w:szCs w:val="24"/>
        </w:rPr>
        <w:t xml:space="preserve"> LXXXII:</w:t>
      </w:r>
      <w:r w:rsidRPr="007A2C81">
        <w:rPr>
          <w:spacing w:val="-3"/>
          <w:szCs w:val="24"/>
        </w:rPr>
        <w:t xml:space="preserve"> 418-435.</w:t>
      </w:r>
    </w:p>
    <w:p w:rsidR="00B5061E" w:rsidRPr="007A2C81" w:rsidRDefault="00B5061E" w:rsidP="00B5061E">
      <w:pPr>
        <w:tabs>
          <w:tab w:val="left" w:pos="-720"/>
          <w:tab w:val="left" w:pos="0"/>
        </w:tabs>
        <w:suppressAutoHyphens/>
        <w:spacing w:line="240" w:lineRule="atLeast"/>
        <w:ind w:left="720" w:hanging="720"/>
        <w:rPr>
          <w:szCs w:val="24"/>
        </w:rPr>
      </w:pPr>
      <w:r w:rsidRPr="007A2C81">
        <w:rPr>
          <w:spacing w:val="-3"/>
          <w:szCs w:val="24"/>
        </w:rPr>
        <w:t xml:space="preserve">___. 2012a. </w:t>
      </w:r>
      <w:r w:rsidR="00762CDB">
        <w:rPr>
          <w:spacing w:val="-3"/>
          <w:szCs w:val="24"/>
        </w:rPr>
        <w:t>“</w:t>
      </w:r>
      <w:r w:rsidR="00762CDB">
        <w:rPr>
          <w:szCs w:val="24"/>
        </w:rPr>
        <w:t>Whither Experimental S</w:t>
      </w:r>
      <w:r w:rsidRPr="007A2C81">
        <w:rPr>
          <w:szCs w:val="24"/>
        </w:rPr>
        <w:t>emantics?</w:t>
      </w:r>
      <w:r w:rsidR="00762CDB">
        <w:rPr>
          <w:szCs w:val="24"/>
        </w:rPr>
        <w:t>”</w:t>
      </w:r>
      <w:r w:rsidRPr="007A2C81">
        <w:rPr>
          <w:szCs w:val="24"/>
        </w:rPr>
        <w:t xml:space="preserve"> </w:t>
      </w:r>
      <w:proofErr w:type="spellStart"/>
      <w:r w:rsidRPr="007A2C81">
        <w:rPr>
          <w:i/>
          <w:szCs w:val="24"/>
        </w:rPr>
        <w:t>Theoria</w:t>
      </w:r>
      <w:proofErr w:type="spellEnd"/>
      <w:r w:rsidR="00762CDB">
        <w:rPr>
          <w:szCs w:val="24"/>
        </w:rPr>
        <w:t xml:space="preserve"> 73:</w:t>
      </w:r>
      <w:r w:rsidRPr="007A2C81">
        <w:rPr>
          <w:szCs w:val="24"/>
        </w:rPr>
        <w:t xml:space="preserve"> 5-36.</w:t>
      </w:r>
    </w:p>
    <w:p w:rsidR="00B5061E" w:rsidRPr="007A2C81" w:rsidRDefault="00B5061E" w:rsidP="00B5061E">
      <w:pPr>
        <w:tabs>
          <w:tab w:val="left" w:pos="-720"/>
        </w:tabs>
        <w:suppressAutoHyphens/>
        <w:spacing w:line="240" w:lineRule="atLeast"/>
        <w:ind w:left="720" w:hanging="720"/>
        <w:rPr>
          <w:rFonts w:cs="Times New Roman"/>
          <w:szCs w:val="24"/>
        </w:rPr>
      </w:pPr>
      <w:r w:rsidRPr="007A2C81">
        <w:rPr>
          <w:rFonts w:cs="Times New Roman"/>
          <w:szCs w:val="24"/>
        </w:rPr>
        <w:t xml:space="preserve">___. 2012b. “Semantic Epistemology: Response to Machery”. </w:t>
      </w:r>
      <w:proofErr w:type="spellStart"/>
      <w:r w:rsidRPr="007A2C81">
        <w:rPr>
          <w:rFonts w:cs="Times New Roman"/>
          <w:i/>
          <w:szCs w:val="24"/>
        </w:rPr>
        <w:t>Theoria</w:t>
      </w:r>
      <w:proofErr w:type="spellEnd"/>
      <w:r w:rsidRPr="007A2C81">
        <w:rPr>
          <w:rFonts w:cs="Times New Roman"/>
          <w:szCs w:val="24"/>
        </w:rPr>
        <w:t xml:space="preserve"> 74</w:t>
      </w:r>
      <w:r w:rsidR="004D563B">
        <w:rPr>
          <w:rFonts w:cs="Times New Roman"/>
          <w:szCs w:val="24"/>
        </w:rPr>
        <w:t>:</w:t>
      </w:r>
      <w:r w:rsidRPr="007A2C81">
        <w:rPr>
          <w:rFonts w:cs="Times New Roman"/>
          <w:szCs w:val="24"/>
        </w:rPr>
        <w:t xml:space="preserve">  229-33.</w:t>
      </w:r>
    </w:p>
    <w:p w:rsidR="00B5061E" w:rsidRPr="007A2C81" w:rsidRDefault="00B5061E" w:rsidP="00B5061E">
      <w:pPr>
        <w:tabs>
          <w:tab w:val="left" w:pos="-720"/>
        </w:tabs>
        <w:suppressAutoHyphens/>
        <w:spacing w:line="240" w:lineRule="atLeast"/>
        <w:ind w:left="720" w:hanging="720"/>
        <w:rPr>
          <w:rFonts w:cs="Times New Roman"/>
          <w:spacing w:val="-3"/>
          <w:szCs w:val="24"/>
        </w:rPr>
      </w:pPr>
      <w:r w:rsidRPr="007A2C81">
        <w:rPr>
          <w:spacing w:val="-3"/>
          <w:szCs w:val="24"/>
        </w:rPr>
        <w:t xml:space="preserve">___. 2012c. </w:t>
      </w:r>
      <w:r w:rsidRPr="007A2C81">
        <w:rPr>
          <w:rFonts w:cs="Times New Roman"/>
          <w:spacing w:val="-3"/>
          <w:szCs w:val="24"/>
        </w:rPr>
        <w:t>“Still Against Direct Reference”. In</w:t>
      </w:r>
      <w:r w:rsidR="004D563B">
        <w:rPr>
          <w:rFonts w:cs="Times New Roman"/>
          <w:spacing w:val="-3"/>
          <w:szCs w:val="24"/>
        </w:rPr>
        <w:t xml:space="preserve"> </w:t>
      </w:r>
      <w:r w:rsidR="004D563B" w:rsidRPr="007A2C81">
        <w:rPr>
          <w:rFonts w:cs="Times New Roman"/>
          <w:spacing w:val="-3"/>
          <w:szCs w:val="24"/>
        </w:rPr>
        <w:t xml:space="preserve">Richard </w:t>
      </w:r>
      <w:proofErr w:type="spellStart"/>
      <w:r w:rsidR="004D563B" w:rsidRPr="007A2C81">
        <w:rPr>
          <w:rFonts w:cs="Times New Roman"/>
          <w:spacing w:val="-3"/>
          <w:szCs w:val="24"/>
        </w:rPr>
        <w:t>Schantz</w:t>
      </w:r>
      <w:proofErr w:type="spellEnd"/>
      <w:r w:rsidR="004D563B" w:rsidRPr="007A2C81">
        <w:rPr>
          <w:rFonts w:cs="Times New Roman"/>
          <w:spacing w:val="-3"/>
          <w:szCs w:val="24"/>
        </w:rPr>
        <w:t xml:space="preserve"> </w:t>
      </w:r>
      <w:r w:rsidR="004D563B">
        <w:rPr>
          <w:rFonts w:cs="Times New Roman"/>
          <w:spacing w:val="-3"/>
          <w:szCs w:val="24"/>
        </w:rPr>
        <w:t>(</w:t>
      </w:r>
      <w:r w:rsidR="004D563B" w:rsidRPr="007A2C81">
        <w:rPr>
          <w:rFonts w:cs="Times New Roman"/>
          <w:spacing w:val="-3"/>
          <w:szCs w:val="24"/>
        </w:rPr>
        <w:t>ed.</w:t>
      </w:r>
      <w:r w:rsidR="004D563B">
        <w:rPr>
          <w:rFonts w:cs="Times New Roman"/>
          <w:spacing w:val="-3"/>
          <w:szCs w:val="24"/>
        </w:rPr>
        <w:t>),</w:t>
      </w:r>
      <w:r w:rsidRPr="007A2C81">
        <w:rPr>
          <w:rFonts w:cs="Times New Roman"/>
          <w:spacing w:val="-3"/>
          <w:szCs w:val="24"/>
        </w:rPr>
        <w:t xml:space="preserve"> </w:t>
      </w:r>
      <w:r w:rsidRPr="007A2C81">
        <w:rPr>
          <w:rFonts w:cs="Times New Roman"/>
          <w:i/>
          <w:spacing w:val="-3"/>
          <w:szCs w:val="24"/>
        </w:rPr>
        <w:t>Prospects for Meaning</w:t>
      </w:r>
      <w:r w:rsidR="004D563B">
        <w:rPr>
          <w:rFonts w:cs="Times New Roman"/>
          <w:spacing w:val="-3"/>
          <w:szCs w:val="24"/>
        </w:rPr>
        <w:t>.</w:t>
      </w:r>
      <w:r w:rsidRPr="007A2C81">
        <w:rPr>
          <w:rFonts w:cs="Times New Roman"/>
          <w:spacing w:val="-3"/>
          <w:szCs w:val="24"/>
        </w:rPr>
        <w:t xml:space="preserve"> Berlin: Walter de </w:t>
      </w:r>
      <w:proofErr w:type="spellStart"/>
      <w:r w:rsidRPr="007A2C81">
        <w:rPr>
          <w:rFonts w:cs="Times New Roman"/>
          <w:spacing w:val="-3"/>
          <w:szCs w:val="24"/>
        </w:rPr>
        <w:t>Gruyter</w:t>
      </w:r>
      <w:proofErr w:type="spellEnd"/>
      <w:r w:rsidRPr="007A2C81">
        <w:rPr>
          <w:rFonts w:cs="Times New Roman"/>
          <w:spacing w:val="-3"/>
          <w:szCs w:val="24"/>
        </w:rPr>
        <w:t>:  61-84.</w:t>
      </w:r>
    </w:p>
    <w:p w:rsidR="00B5061E" w:rsidRPr="007A2C81" w:rsidRDefault="00B5061E" w:rsidP="00B5061E">
      <w:pPr>
        <w:tabs>
          <w:tab w:val="left" w:pos="-720"/>
        </w:tabs>
        <w:suppressAutoHyphens/>
        <w:spacing w:line="240" w:lineRule="atLeast"/>
        <w:ind w:left="720" w:hanging="720"/>
        <w:rPr>
          <w:rFonts w:cs="Times New Roman"/>
          <w:szCs w:val="24"/>
        </w:rPr>
      </w:pPr>
      <w:r w:rsidRPr="007A2C81">
        <w:rPr>
          <w:szCs w:val="24"/>
        </w:rPr>
        <w:t>___. 2015.</w:t>
      </w:r>
      <w:r w:rsidRPr="007A2C81">
        <w:rPr>
          <w:rFonts w:cs="Times New Roman"/>
          <w:szCs w:val="24"/>
        </w:rPr>
        <w:t xml:space="preserve"> “Should Proper Names Still Seem So Problematic?” In</w:t>
      </w:r>
      <w:r w:rsidR="004D563B">
        <w:rPr>
          <w:rFonts w:cs="Times New Roman"/>
          <w:szCs w:val="24"/>
        </w:rPr>
        <w:t>, Andrea Bianchi</w:t>
      </w:r>
      <w:r w:rsidR="004D563B" w:rsidRPr="007A2C81">
        <w:rPr>
          <w:rFonts w:cs="Times New Roman"/>
          <w:szCs w:val="24"/>
        </w:rPr>
        <w:t xml:space="preserve"> </w:t>
      </w:r>
      <w:r w:rsidR="004D563B">
        <w:rPr>
          <w:rFonts w:cs="Times New Roman"/>
          <w:szCs w:val="24"/>
        </w:rPr>
        <w:t>(</w:t>
      </w:r>
      <w:r w:rsidR="004D563B" w:rsidRPr="007A2C81">
        <w:rPr>
          <w:rFonts w:cs="Times New Roman"/>
          <w:szCs w:val="24"/>
        </w:rPr>
        <w:t>ed.</w:t>
      </w:r>
      <w:r w:rsidR="004D563B">
        <w:rPr>
          <w:rFonts w:cs="Times New Roman"/>
          <w:szCs w:val="24"/>
        </w:rPr>
        <w:t>),</w:t>
      </w:r>
      <w:r w:rsidRPr="007A2C81">
        <w:rPr>
          <w:rFonts w:cs="Times New Roman"/>
          <w:szCs w:val="24"/>
        </w:rPr>
        <w:t xml:space="preserve"> </w:t>
      </w:r>
      <w:r w:rsidRPr="007A2C81">
        <w:rPr>
          <w:rFonts w:cs="Times New Roman"/>
          <w:i/>
          <w:szCs w:val="24"/>
        </w:rPr>
        <w:t>On Reference</w:t>
      </w:r>
      <w:r w:rsidR="004D563B">
        <w:rPr>
          <w:rFonts w:cs="Times New Roman"/>
          <w:szCs w:val="24"/>
        </w:rPr>
        <w:t>:</w:t>
      </w:r>
      <w:r w:rsidRPr="007A2C81">
        <w:rPr>
          <w:rFonts w:cs="Times New Roman"/>
          <w:szCs w:val="24"/>
        </w:rPr>
        <w:t xml:space="preserve"> Oxford: Oxford University Press: 108-43.</w:t>
      </w:r>
    </w:p>
    <w:p w:rsidR="00B5061E" w:rsidRPr="007A2C81" w:rsidRDefault="00B5061E" w:rsidP="00B5061E">
      <w:pPr>
        <w:ind w:left="720" w:hanging="720"/>
        <w:rPr>
          <w:rFonts w:cs="Times New Roman"/>
          <w:szCs w:val="24"/>
          <w:lang w:bidi="en-US"/>
        </w:rPr>
      </w:pPr>
      <w:r w:rsidRPr="007A2C81">
        <w:rPr>
          <w:spacing w:val="-3"/>
          <w:szCs w:val="24"/>
        </w:rPr>
        <w:t xml:space="preserve">___. 2018a. </w:t>
      </w:r>
      <w:r w:rsidRPr="007A2C81">
        <w:rPr>
          <w:rFonts w:cs="Times New Roman"/>
          <w:szCs w:val="24"/>
          <w:lang w:bidi="en-US"/>
        </w:rPr>
        <w:t xml:space="preserve">“Historical Biological Essentialism”. </w:t>
      </w:r>
      <w:r w:rsidRPr="007A2C81">
        <w:rPr>
          <w:rFonts w:cs="Times New Roman"/>
          <w:i/>
          <w:szCs w:val="24"/>
          <w:lang w:bidi="en-US"/>
        </w:rPr>
        <w:t>Studies in History and Philosophy of Biological and Biomedical Sciences</w:t>
      </w:r>
      <w:r w:rsidR="004D563B">
        <w:rPr>
          <w:rFonts w:cs="Times New Roman"/>
          <w:szCs w:val="24"/>
          <w:lang w:bidi="en-US"/>
        </w:rPr>
        <w:t xml:space="preserve"> 71:</w:t>
      </w:r>
      <w:r w:rsidRPr="007A2C81">
        <w:rPr>
          <w:rFonts w:cs="Times New Roman"/>
          <w:szCs w:val="24"/>
          <w:lang w:bidi="en-US"/>
        </w:rPr>
        <w:t xml:space="preserve"> 1-7. </w:t>
      </w:r>
      <w:proofErr w:type="spellStart"/>
      <w:r w:rsidRPr="007A2C81">
        <w:rPr>
          <w:rFonts w:cs="Times New Roman"/>
          <w:szCs w:val="24"/>
          <w:lang w:bidi="en-US"/>
        </w:rPr>
        <w:t>Doi</w:t>
      </w:r>
      <w:proofErr w:type="spellEnd"/>
      <w:r w:rsidRPr="007A2C81">
        <w:rPr>
          <w:rFonts w:cs="Times New Roman"/>
          <w:szCs w:val="24"/>
          <w:lang w:bidi="en-US"/>
        </w:rPr>
        <w:t>: 10.1016/j.shpsc.2018.05.004</w:t>
      </w:r>
    </w:p>
    <w:p w:rsidR="00B5061E" w:rsidRPr="007A2C81" w:rsidRDefault="00B5061E" w:rsidP="00B5061E">
      <w:pPr>
        <w:ind w:left="720" w:hanging="720"/>
        <w:rPr>
          <w:rFonts w:cs="Times New Roman"/>
          <w:szCs w:val="24"/>
          <w:lang w:bidi="en-US"/>
        </w:rPr>
      </w:pPr>
      <w:r w:rsidRPr="007A2C81">
        <w:rPr>
          <w:rFonts w:cs="Times New Roman"/>
          <w:szCs w:val="24"/>
          <w:lang w:bidi="en-US"/>
        </w:rPr>
        <w:t xml:space="preserve">___. 2018b. “Individual Essentialism in Biology”. </w:t>
      </w:r>
      <w:r w:rsidRPr="007A2C81">
        <w:rPr>
          <w:rFonts w:cs="Times New Roman"/>
          <w:i/>
          <w:szCs w:val="24"/>
          <w:lang w:bidi="en-US"/>
        </w:rPr>
        <w:t>Biology and Philosophy</w:t>
      </w:r>
      <w:r w:rsidRPr="007A2C81">
        <w:rPr>
          <w:rFonts w:cs="Times New Roman"/>
          <w:szCs w:val="24"/>
          <w:lang w:bidi="en-US"/>
        </w:rPr>
        <w:t xml:space="preserve"> 33</w:t>
      </w:r>
      <w:r w:rsidR="004D563B">
        <w:rPr>
          <w:rFonts w:cs="Times New Roman"/>
          <w:szCs w:val="24"/>
          <w:lang w:bidi="en-US"/>
        </w:rPr>
        <w:t>:</w:t>
      </w:r>
      <w:r w:rsidRPr="007A2C81">
        <w:rPr>
          <w:rFonts w:cs="Times New Roman"/>
          <w:szCs w:val="24"/>
          <w:lang w:bidi="en-US"/>
        </w:rPr>
        <w:t xml:space="preserve"> 1-22. DOI: 10.1007/s10539-018-9651-1</w:t>
      </w:r>
    </w:p>
    <w:p w:rsidR="00B5061E" w:rsidRPr="007A2C81" w:rsidRDefault="00B5061E" w:rsidP="00B5061E">
      <w:pPr>
        <w:pStyle w:val="FootnoteText"/>
        <w:ind w:left="720" w:hanging="720"/>
        <w:rPr>
          <w:sz w:val="24"/>
          <w:szCs w:val="24"/>
        </w:rPr>
      </w:pPr>
      <w:r w:rsidRPr="007A2C81">
        <w:rPr>
          <w:sz w:val="24"/>
          <w:szCs w:val="24"/>
        </w:rPr>
        <w:t>___. 2020. “Stirring the Possum: Responses to the Bianchi Papers”. In Bianchi 2020a: ###</w:t>
      </w:r>
    </w:p>
    <w:p w:rsidR="00B5061E" w:rsidRPr="007A2C81" w:rsidRDefault="00B5061E" w:rsidP="00B5061E">
      <w:pPr>
        <w:ind w:left="720" w:hanging="720"/>
        <w:rPr>
          <w:rFonts w:cs="Times New Roman"/>
          <w:szCs w:val="24"/>
          <w:lang w:bidi="en-US"/>
        </w:rPr>
      </w:pPr>
      <w:r w:rsidRPr="007A2C81">
        <w:rPr>
          <w:rFonts w:cs="Times New Roman"/>
          <w:szCs w:val="24"/>
          <w:lang w:bidi="en-US"/>
        </w:rPr>
        <w:t xml:space="preserve">___. Forthcoming. “Defending Intrinsic Biological Essentialism”. </w:t>
      </w:r>
      <w:r w:rsidRPr="007A2C81">
        <w:rPr>
          <w:rFonts w:cs="Times New Roman"/>
          <w:i/>
          <w:szCs w:val="24"/>
          <w:lang w:bidi="en-US"/>
        </w:rPr>
        <w:t>Philosophy of Science</w:t>
      </w:r>
      <w:r w:rsidRPr="007A2C81">
        <w:rPr>
          <w:rFonts w:cs="Times New Roman"/>
          <w:szCs w:val="24"/>
          <w:lang w:bidi="en-US"/>
        </w:rPr>
        <w:t>.</w:t>
      </w:r>
    </w:p>
    <w:p w:rsidR="00B5061E" w:rsidRPr="007A2C81" w:rsidRDefault="00B5061E" w:rsidP="00B5061E">
      <w:pPr>
        <w:tabs>
          <w:tab w:val="left" w:pos="-720"/>
        </w:tabs>
        <w:suppressAutoHyphens/>
        <w:spacing w:line="240" w:lineRule="atLeast"/>
        <w:ind w:left="720" w:hanging="720"/>
        <w:rPr>
          <w:rFonts w:cs="Times New Roman"/>
          <w:color w:val="0000FF"/>
          <w:spacing w:val="-3"/>
          <w:szCs w:val="24"/>
          <w:u w:val="single"/>
        </w:rPr>
      </w:pPr>
      <w:r w:rsidRPr="007A2C81">
        <w:rPr>
          <w:rFonts w:cs="Times New Roman"/>
          <w:szCs w:val="24"/>
        </w:rPr>
        <w:t xml:space="preserve">___, and Nicolas Porot. 2018. </w:t>
      </w:r>
      <w:r w:rsidRPr="007A2C81">
        <w:rPr>
          <w:rFonts w:cs="Times New Roman"/>
          <w:spacing w:val="-3"/>
          <w:szCs w:val="24"/>
        </w:rPr>
        <w:t xml:space="preserve">“The Reference of Proper Names: Testing Usage and Intuitions”. </w:t>
      </w:r>
      <w:r w:rsidRPr="007A2C81">
        <w:rPr>
          <w:rFonts w:cs="Times New Roman"/>
          <w:i/>
          <w:spacing w:val="-3"/>
          <w:szCs w:val="24"/>
        </w:rPr>
        <w:t>Cognitive Science</w:t>
      </w:r>
      <w:r w:rsidRPr="007A2C81">
        <w:rPr>
          <w:rFonts w:eastAsia="Times New Roman" w:cs="Times New Roman"/>
          <w:spacing w:val="-3"/>
          <w:szCs w:val="24"/>
        </w:rPr>
        <w:t xml:space="preserve"> </w:t>
      </w:r>
      <w:r w:rsidR="004D563B">
        <w:rPr>
          <w:rFonts w:cs="Times New Roman"/>
          <w:spacing w:val="-3"/>
        </w:rPr>
        <w:t xml:space="preserve">42: 1552-1585. </w:t>
      </w:r>
      <w:hyperlink r:id="rId7" w:history="1">
        <w:r w:rsidR="004D563B" w:rsidRPr="00B90B54">
          <w:rPr>
            <w:rStyle w:val="Hyperlink"/>
            <w:rFonts w:cs="Times New Roman"/>
          </w:rPr>
          <w:t>doi</w:t>
        </w:r>
        <w:r w:rsidR="004D563B">
          <w:rPr>
            <w:rStyle w:val="Hyperlink"/>
            <w:rFonts w:cs="Times New Roman"/>
          </w:rPr>
          <w:t>.org</w:t>
        </w:r>
        <w:r w:rsidR="004D563B" w:rsidRPr="00B90B54">
          <w:rPr>
            <w:rStyle w:val="Hyperlink"/>
            <w:rFonts w:cs="Times New Roman"/>
          </w:rPr>
          <w:t>/10.1111/cogs.12609</w:t>
        </w:r>
      </w:hyperlink>
      <w:r w:rsidR="004D563B">
        <w:rPr>
          <w:rStyle w:val="Hyperlink"/>
          <w:rFonts w:cs="Times New Roman"/>
        </w:rPr>
        <w:t>.</w:t>
      </w:r>
      <w:r w:rsidRPr="007A2C81">
        <w:rPr>
          <w:rFonts w:cs="Times New Roman"/>
          <w:spacing w:val="-3"/>
          <w:szCs w:val="24"/>
        </w:rPr>
        <w:t xml:space="preserve"> </w:t>
      </w:r>
      <w:hyperlink r:id="rId8" w:history="1">
        <w:r w:rsidRPr="007A2C81">
          <w:rPr>
            <w:rStyle w:val="Hyperlink"/>
            <w:rFonts w:cs="Times New Roman"/>
            <w:spacing w:val="-3"/>
            <w:szCs w:val="24"/>
          </w:rPr>
          <w:t>doi.org/10.1111/cogs.12609</w:t>
        </w:r>
      </w:hyperlink>
    </w:p>
    <w:p w:rsidR="00B5061E" w:rsidRPr="007A2C81" w:rsidRDefault="00B5061E" w:rsidP="00B5061E">
      <w:pPr>
        <w:tabs>
          <w:tab w:val="left" w:pos="-720"/>
          <w:tab w:val="left" w:pos="0"/>
        </w:tabs>
        <w:spacing w:line="240" w:lineRule="atLeast"/>
        <w:ind w:left="720" w:hanging="720"/>
        <w:rPr>
          <w:spacing w:val="-3"/>
          <w:szCs w:val="24"/>
        </w:rPr>
      </w:pPr>
      <w:r w:rsidRPr="007A2C81">
        <w:rPr>
          <w:spacing w:val="-3"/>
          <w:szCs w:val="24"/>
        </w:rPr>
        <w:t xml:space="preserve">___, and Kim Sterelny. 1999. </w:t>
      </w:r>
      <w:r w:rsidRPr="007A2C81">
        <w:rPr>
          <w:i/>
          <w:spacing w:val="-3"/>
          <w:szCs w:val="24"/>
        </w:rPr>
        <w:t>Language and Reality: An Introduction to the Philosophy of Language</w:t>
      </w:r>
      <w:r w:rsidRPr="007A2C81">
        <w:rPr>
          <w:spacing w:val="-3"/>
          <w:szCs w:val="24"/>
        </w:rPr>
        <w:t>, 2</w:t>
      </w:r>
      <w:r w:rsidRPr="007A2C81">
        <w:rPr>
          <w:spacing w:val="-3"/>
          <w:szCs w:val="24"/>
          <w:vertAlign w:val="superscript"/>
        </w:rPr>
        <w:t>nd</w:t>
      </w:r>
      <w:r w:rsidRPr="007A2C81">
        <w:rPr>
          <w:spacing w:val="-3"/>
          <w:szCs w:val="24"/>
        </w:rPr>
        <w:t xml:space="preserve"> </w:t>
      </w:r>
      <w:proofErr w:type="spellStart"/>
      <w:r w:rsidRPr="007A2C81">
        <w:rPr>
          <w:spacing w:val="-3"/>
          <w:szCs w:val="24"/>
        </w:rPr>
        <w:t>edn</w:t>
      </w:r>
      <w:proofErr w:type="spellEnd"/>
      <w:r w:rsidRPr="007A2C81">
        <w:rPr>
          <w:spacing w:val="-3"/>
          <w:szCs w:val="24"/>
        </w:rPr>
        <w:t>. 1</w:t>
      </w:r>
      <w:r w:rsidRPr="007A2C81">
        <w:rPr>
          <w:spacing w:val="-3"/>
          <w:szCs w:val="24"/>
          <w:vertAlign w:val="superscript"/>
        </w:rPr>
        <w:t>st</w:t>
      </w:r>
      <w:r w:rsidRPr="007A2C81">
        <w:rPr>
          <w:spacing w:val="-3"/>
          <w:szCs w:val="24"/>
        </w:rPr>
        <w:t xml:space="preserve"> </w:t>
      </w:r>
      <w:proofErr w:type="spellStart"/>
      <w:r w:rsidRPr="007A2C81">
        <w:rPr>
          <w:spacing w:val="-3"/>
          <w:szCs w:val="24"/>
        </w:rPr>
        <w:t>edn</w:t>
      </w:r>
      <w:proofErr w:type="spellEnd"/>
      <w:r w:rsidRPr="007A2C81">
        <w:rPr>
          <w:spacing w:val="-3"/>
          <w:szCs w:val="24"/>
        </w:rPr>
        <w:t>. 1987. Oxford: Blackwell Publishers.</w:t>
      </w:r>
    </w:p>
    <w:p w:rsidR="00B5061E" w:rsidRPr="007A2C81" w:rsidRDefault="00B5061E" w:rsidP="00B5061E">
      <w:pPr>
        <w:tabs>
          <w:tab w:val="left" w:pos="-720"/>
          <w:tab w:val="left" w:pos="0"/>
        </w:tabs>
        <w:spacing w:line="240" w:lineRule="atLeast"/>
        <w:ind w:left="720" w:hanging="720"/>
        <w:rPr>
          <w:iCs/>
          <w:szCs w:val="24"/>
        </w:rPr>
      </w:pPr>
      <w:r w:rsidRPr="007A2C81">
        <w:rPr>
          <w:spacing w:val="-3"/>
          <w:szCs w:val="24"/>
        </w:rPr>
        <w:t xml:space="preserve">Dickie, Imogen. 2011. “How Proper Names Refer”. </w:t>
      </w:r>
      <w:r w:rsidRPr="007A2C81">
        <w:rPr>
          <w:i/>
          <w:iCs/>
          <w:szCs w:val="24"/>
        </w:rPr>
        <w:t>Proceedings of the Aristotelian Society,</w:t>
      </w:r>
      <w:r w:rsidRPr="007A2C81">
        <w:rPr>
          <w:iCs/>
          <w:szCs w:val="24"/>
        </w:rPr>
        <w:t xml:space="preserve"> Vol. 101: 43-78.</w:t>
      </w:r>
    </w:p>
    <w:p w:rsidR="002D444B" w:rsidRPr="007A2C81" w:rsidRDefault="002D444B" w:rsidP="00B5061E">
      <w:pPr>
        <w:tabs>
          <w:tab w:val="left" w:pos="-720"/>
          <w:tab w:val="left" w:pos="0"/>
        </w:tabs>
        <w:spacing w:line="240" w:lineRule="atLeast"/>
        <w:ind w:left="720" w:hanging="720"/>
        <w:rPr>
          <w:spacing w:val="-3"/>
          <w:szCs w:val="24"/>
        </w:rPr>
      </w:pPr>
      <w:proofErr w:type="spellStart"/>
      <w:r w:rsidRPr="007A2C81">
        <w:rPr>
          <w:szCs w:val="24"/>
        </w:rPr>
        <w:t>Domanesc</w:t>
      </w:r>
      <w:r w:rsidR="004D563B">
        <w:rPr>
          <w:szCs w:val="24"/>
        </w:rPr>
        <w:t>hi</w:t>
      </w:r>
      <w:proofErr w:type="spellEnd"/>
      <w:r w:rsidR="004D563B">
        <w:rPr>
          <w:szCs w:val="24"/>
        </w:rPr>
        <w:t xml:space="preserve"> F., </w:t>
      </w:r>
      <w:proofErr w:type="spellStart"/>
      <w:r w:rsidR="004D563B">
        <w:rPr>
          <w:szCs w:val="24"/>
        </w:rPr>
        <w:t>Vignolo</w:t>
      </w:r>
      <w:proofErr w:type="spellEnd"/>
      <w:r w:rsidR="004D563B">
        <w:rPr>
          <w:szCs w:val="24"/>
        </w:rPr>
        <w:t xml:space="preserve"> M., Di Paola S. 2017</w:t>
      </w:r>
      <w:r w:rsidRPr="007A2C81">
        <w:rPr>
          <w:szCs w:val="24"/>
        </w:rPr>
        <w:t xml:space="preserve">. </w:t>
      </w:r>
      <w:r w:rsidR="004D563B">
        <w:rPr>
          <w:szCs w:val="24"/>
        </w:rPr>
        <w:t>“</w:t>
      </w:r>
      <w:r w:rsidRPr="007A2C81">
        <w:rPr>
          <w:szCs w:val="24"/>
        </w:rPr>
        <w:t>Testing</w:t>
      </w:r>
      <w:r w:rsidR="004D563B">
        <w:rPr>
          <w:szCs w:val="24"/>
        </w:rPr>
        <w:t xml:space="preserve"> the Causal Theory of Reference”.</w:t>
      </w:r>
      <w:r w:rsidRPr="007A2C81">
        <w:rPr>
          <w:szCs w:val="24"/>
        </w:rPr>
        <w:t xml:space="preserve"> </w:t>
      </w:r>
      <w:r w:rsidRPr="007A2C81">
        <w:rPr>
          <w:i/>
          <w:szCs w:val="24"/>
        </w:rPr>
        <w:t>Cognition</w:t>
      </w:r>
      <w:r w:rsidR="004D563B">
        <w:rPr>
          <w:szCs w:val="24"/>
        </w:rPr>
        <w:t xml:space="preserve"> 161:</w:t>
      </w:r>
      <w:r w:rsidRPr="007A2C81">
        <w:rPr>
          <w:szCs w:val="24"/>
        </w:rPr>
        <w:t xml:space="preserve"> 1-9. </w:t>
      </w:r>
      <w:hyperlink r:id="rId9" w:history="1">
        <w:r w:rsidRPr="007A2C81">
          <w:rPr>
            <w:rStyle w:val="Hyperlink"/>
            <w:szCs w:val="24"/>
          </w:rPr>
          <w:t>doi.org/10.1016/j.cognition.2016.12.014</w:t>
        </w:r>
      </w:hyperlink>
    </w:p>
    <w:p w:rsidR="00B5061E" w:rsidRPr="007A2C81" w:rsidRDefault="00B5061E" w:rsidP="00B5061E">
      <w:pPr>
        <w:tabs>
          <w:tab w:val="left" w:pos="-720"/>
          <w:tab w:val="left" w:pos="0"/>
        </w:tabs>
        <w:suppressAutoHyphens/>
        <w:spacing w:line="240" w:lineRule="atLeast"/>
        <w:ind w:left="720" w:hanging="720"/>
        <w:rPr>
          <w:spacing w:val="-3"/>
          <w:szCs w:val="24"/>
        </w:rPr>
      </w:pPr>
      <w:r w:rsidRPr="007A2C81">
        <w:rPr>
          <w:spacing w:val="-3"/>
          <w:szCs w:val="24"/>
        </w:rPr>
        <w:t xml:space="preserve">Donnellan, Keith S. 1966. “Reference and Definite Descriptions”. </w:t>
      </w:r>
      <w:r w:rsidRPr="007A2C81">
        <w:rPr>
          <w:i/>
          <w:spacing w:val="-3"/>
          <w:szCs w:val="24"/>
        </w:rPr>
        <w:t>Philosophical Review</w:t>
      </w:r>
      <w:r w:rsidRPr="007A2C81">
        <w:rPr>
          <w:spacing w:val="-3"/>
          <w:szCs w:val="24"/>
        </w:rPr>
        <w:t xml:space="preserve"> 75: 281</w:t>
      </w:r>
      <w:r w:rsidRPr="007A2C81">
        <w:rPr>
          <w:spacing w:val="-3"/>
          <w:szCs w:val="24"/>
        </w:rPr>
        <w:noBreakHyphen/>
        <w:t>304.</w:t>
      </w:r>
    </w:p>
    <w:p w:rsidR="00B5061E" w:rsidRPr="007A2C81" w:rsidRDefault="00B5061E" w:rsidP="00B5061E">
      <w:pPr>
        <w:tabs>
          <w:tab w:val="left" w:pos="-720"/>
          <w:tab w:val="left" w:pos="0"/>
        </w:tabs>
        <w:suppressAutoHyphens/>
        <w:spacing w:line="240" w:lineRule="atLeast"/>
        <w:ind w:left="720" w:hanging="720"/>
        <w:rPr>
          <w:spacing w:val="-3"/>
          <w:szCs w:val="24"/>
        </w:rPr>
      </w:pPr>
      <w:r w:rsidRPr="007A2C81">
        <w:rPr>
          <w:spacing w:val="-3"/>
          <w:szCs w:val="24"/>
        </w:rPr>
        <w:t xml:space="preserve">___. 1968. “Putting Humpty Dumpty Together Again”.  </w:t>
      </w:r>
      <w:r w:rsidRPr="007A2C81">
        <w:rPr>
          <w:i/>
          <w:spacing w:val="-3"/>
          <w:szCs w:val="24"/>
        </w:rPr>
        <w:t>Philosophical Review</w:t>
      </w:r>
      <w:r w:rsidRPr="007A2C81">
        <w:rPr>
          <w:spacing w:val="-3"/>
          <w:szCs w:val="24"/>
        </w:rPr>
        <w:t xml:space="preserve"> 77: 203-15.</w:t>
      </w:r>
    </w:p>
    <w:p w:rsidR="00B5061E" w:rsidRPr="007A2C81" w:rsidRDefault="00B5061E" w:rsidP="00B5061E">
      <w:pPr>
        <w:tabs>
          <w:tab w:val="left" w:pos="-720"/>
        </w:tabs>
        <w:spacing w:line="240" w:lineRule="atLeast"/>
        <w:ind w:left="720" w:hanging="720"/>
        <w:rPr>
          <w:spacing w:val="-3"/>
          <w:szCs w:val="24"/>
        </w:rPr>
      </w:pPr>
      <w:r w:rsidRPr="007A2C81">
        <w:rPr>
          <w:spacing w:val="-3"/>
          <w:szCs w:val="24"/>
        </w:rPr>
        <w:t>___. 1972. “Proper Names and Identifying Descriptions”. In Davidson and Harman 1972: 356-79.</w:t>
      </w:r>
    </w:p>
    <w:p w:rsidR="00B5061E" w:rsidRPr="007A2C81" w:rsidRDefault="00B5061E" w:rsidP="00B5061E">
      <w:pPr>
        <w:tabs>
          <w:tab w:val="left" w:pos="-720"/>
        </w:tabs>
        <w:spacing w:line="240" w:lineRule="atLeast"/>
        <w:ind w:left="720" w:hanging="720"/>
        <w:rPr>
          <w:spacing w:val="-3"/>
          <w:szCs w:val="24"/>
        </w:rPr>
      </w:pPr>
      <w:r w:rsidRPr="007A2C81">
        <w:rPr>
          <w:spacing w:val="-3"/>
          <w:szCs w:val="24"/>
        </w:rPr>
        <w:t xml:space="preserve">___. 1974. “Speaking of Nothing”. </w:t>
      </w:r>
      <w:r w:rsidRPr="007A2C81">
        <w:rPr>
          <w:i/>
          <w:iCs/>
          <w:spacing w:val="-3"/>
          <w:szCs w:val="24"/>
        </w:rPr>
        <w:t>Philosophical Review</w:t>
      </w:r>
      <w:r w:rsidRPr="007A2C81">
        <w:rPr>
          <w:spacing w:val="-3"/>
          <w:szCs w:val="24"/>
        </w:rPr>
        <w:t xml:space="preserve"> 83: 3-31.</w:t>
      </w:r>
    </w:p>
    <w:p w:rsidR="00B5061E" w:rsidRPr="007A2C81" w:rsidRDefault="004D563B" w:rsidP="00B5061E">
      <w:pPr>
        <w:pStyle w:val="FootnoteText"/>
        <w:ind w:left="720" w:hanging="720"/>
        <w:rPr>
          <w:sz w:val="24"/>
          <w:szCs w:val="24"/>
        </w:rPr>
      </w:pPr>
      <w:r>
        <w:rPr>
          <w:sz w:val="24"/>
          <w:szCs w:val="24"/>
        </w:rPr>
        <w:t>___. 1983. “</w:t>
      </w:r>
      <w:r w:rsidR="00B5061E" w:rsidRPr="007A2C81">
        <w:rPr>
          <w:sz w:val="24"/>
          <w:szCs w:val="24"/>
        </w:rPr>
        <w:t>Kripke and Putnam on Natural Kind Terms</w:t>
      </w:r>
      <w:r>
        <w:rPr>
          <w:sz w:val="24"/>
          <w:szCs w:val="24"/>
        </w:rPr>
        <w:t>”</w:t>
      </w:r>
      <w:r w:rsidR="00E139C7">
        <w:rPr>
          <w:sz w:val="24"/>
          <w:szCs w:val="24"/>
        </w:rPr>
        <w:t>. I</w:t>
      </w:r>
      <w:r w:rsidR="00B5061E" w:rsidRPr="007A2C81">
        <w:rPr>
          <w:sz w:val="24"/>
          <w:szCs w:val="24"/>
        </w:rPr>
        <w:t xml:space="preserve">n Carl </w:t>
      </w:r>
      <w:proofErr w:type="spellStart"/>
      <w:r w:rsidR="00B5061E" w:rsidRPr="007A2C81">
        <w:rPr>
          <w:sz w:val="24"/>
          <w:szCs w:val="24"/>
        </w:rPr>
        <w:t>Ginet</w:t>
      </w:r>
      <w:proofErr w:type="spellEnd"/>
      <w:r w:rsidR="00B5061E" w:rsidRPr="007A2C81">
        <w:rPr>
          <w:sz w:val="24"/>
          <w:szCs w:val="24"/>
        </w:rPr>
        <w:t xml:space="preserve"> and Sydney Shoemaker (eds.), </w:t>
      </w:r>
      <w:r w:rsidR="00B5061E" w:rsidRPr="007A2C81">
        <w:rPr>
          <w:i/>
          <w:sz w:val="24"/>
          <w:szCs w:val="24"/>
        </w:rPr>
        <w:t>Knowledge and Mind</w:t>
      </w:r>
      <w:r w:rsidR="00B5061E" w:rsidRPr="007A2C81">
        <w:rPr>
          <w:sz w:val="24"/>
          <w:szCs w:val="24"/>
        </w:rPr>
        <w:t>, Ne</w:t>
      </w:r>
      <w:r w:rsidR="00E139C7">
        <w:rPr>
          <w:sz w:val="24"/>
          <w:szCs w:val="24"/>
        </w:rPr>
        <w:t>w York: Oxford University Press:</w:t>
      </w:r>
      <w:r w:rsidR="00B5061E" w:rsidRPr="007A2C81">
        <w:rPr>
          <w:sz w:val="24"/>
          <w:szCs w:val="24"/>
        </w:rPr>
        <w:t xml:space="preserve"> 84-104.</w:t>
      </w:r>
    </w:p>
    <w:p w:rsidR="00B5061E" w:rsidRPr="007A2C81" w:rsidRDefault="00B5061E" w:rsidP="00B5061E">
      <w:pPr>
        <w:tabs>
          <w:tab w:val="left" w:pos="-720"/>
        </w:tabs>
        <w:spacing w:line="240" w:lineRule="atLeast"/>
        <w:ind w:left="720" w:hanging="720"/>
        <w:rPr>
          <w:szCs w:val="24"/>
        </w:rPr>
      </w:pPr>
      <w:r w:rsidRPr="007A2C81">
        <w:rPr>
          <w:spacing w:val="-3"/>
          <w:szCs w:val="24"/>
        </w:rPr>
        <w:t xml:space="preserve">___. </w:t>
      </w:r>
      <w:r w:rsidR="00E139C7">
        <w:rPr>
          <w:szCs w:val="24"/>
        </w:rPr>
        <w:t>1989. “</w:t>
      </w:r>
      <w:r w:rsidRPr="007A2C81">
        <w:rPr>
          <w:szCs w:val="24"/>
        </w:rPr>
        <w:t>Belief and the Identity of Reference</w:t>
      </w:r>
      <w:r w:rsidR="00E139C7">
        <w:rPr>
          <w:szCs w:val="24"/>
        </w:rPr>
        <w:t>”</w:t>
      </w:r>
      <w:r w:rsidRPr="007A2C81">
        <w:rPr>
          <w:szCs w:val="24"/>
        </w:rPr>
        <w:t>. In French</w:t>
      </w:r>
      <w:r w:rsidR="001455B6">
        <w:rPr>
          <w:rFonts w:eastAsia="Calibri"/>
          <w:szCs w:val="24"/>
        </w:rPr>
        <w:t xml:space="preserve"> et al.</w:t>
      </w:r>
      <w:r w:rsidRPr="007A2C81">
        <w:rPr>
          <w:szCs w:val="24"/>
        </w:rPr>
        <w:t xml:space="preserve"> 1989: 275-88.</w:t>
      </w:r>
    </w:p>
    <w:p w:rsidR="00B5061E" w:rsidRPr="007A2C81" w:rsidRDefault="00B5061E" w:rsidP="00B5061E">
      <w:pPr>
        <w:tabs>
          <w:tab w:val="left" w:pos="-720"/>
        </w:tabs>
        <w:spacing w:line="240" w:lineRule="atLeast"/>
        <w:ind w:left="720" w:hanging="720"/>
        <w:rPr>
          <w:szCs w:val="24"/>
        </w:rPr>
      </w:pPr>
      <w:proofErr w:type="spellStart"/>
      <w:r w:rsidRPr="007A2C81">
        <w:rPr>
          <w:szCs w:val="24"/>
        </w:rPr>
        <w:lastRenderedPageBreak/>
        <w:t>Dummett</w:t>
      </w:r>
      <w:proofErr w:type="spellEnd"/>
      <w:r w:rsidRPr="007A2C81">
        <w:rPr>
          <w:szCs w:val="24"/>
        </w:rPr>
        <w:t xml:space="preserve">, Michael. 1973. </w:t>
      </w:r>
      <w:proofErr w:type="spellStart"/>
      <w:r w:rsidRPr="007A2C81">
        <w:rPr>
          <w:i/>
          <w:szCs w:val="24"/>
        </w:rPr>
        <w:t>Frege</w:t>
      </w:r>
      <w:proofErr w:type="spellEnd"/>
      <w:r w:rsidRPr="007A2C81">
        <w:rPr>
          <w:i/>
          <w:szCs w:val="24"/>
        </w:rPr>
        <w:t>: Philosophy of Language</w:t>
      </w:r>
      <w:r w:rsidRPr="007A2C81">
        <w:rPr>
          <w:szCs w:val="24"/>
        </w:rPr>
        <w:t>. London: Duckworth.</w:t>
      </w:r>
    </w:p>
    <w:p w:rsidR="0077406D" w:rsidRPr="007A2C81" w:rsidRDefault="0077406D" w:rsidP="0077406D">
      <w:pPr>
        <w:tabs>
          <w:tab w:val="left" w:pos="-720"/>
        </w:tabs>
        <w:spacing w:line="240" w:lineRule="atLeast"/>
        <w:ind w:left="720" w:hanging="720"/>
        <w:rPr>
          <w:spacing w:val="-3"/>
          <w:szCs w:val="24"/>
        </w:rPr>
      </w:pPr>
      <w:proofErr w:type="spellStart"/>
      <w:r w:rsidRPr="007A2C81">
        <w:rPr>
          <w:szCs w:val="24"/>
        </w:rPr>
        <w:t>Dupré</w:t>
      </w:r>
      <w:proofErr w:type="spellEnd"/>
      <w:r w:rsidRPr="007A2C81">
        <w:rPr>
          <w:szCs w:val="24"/>
        </w:rPr>
        <w:t>, John</w:t>
      </w:r>
      <w:r w:rsidR="00E139C7">
        <w:rPr>
          <w:szCs w:val="24"/>
        </w:rPr>
        <w:t>.</w:t>
      </w:r>
      <w:r w:rsidRPr="007A2C81">
        <w:rPr>
          <w:szCs w:val="24"/>
        </w:rPr>
        <w:t xml:space="preserve"> </w:t>
      </w:r>
      <w:r w:rsidR="00E139C7">
        <w:rPr>
          <w:szCs w:val="24"/>
        </w:rPr>
        <w:t>1981.</w:t>
      </w:r>
      <w:r w:rsidRPr="007A2C81">
        <w:rPr>
          <w:szCs w:val="24"/>
        </w:rPr>
        <w:t xml:space="preserve"> “Nat</w:t>
      </w:r>
      <w:r w:rsidR="00E139C7">
        <w:rPr>
          <w:szCs w:val="24"/>
        </w:rPr>
        <w:t>ural Kinds and Biological Taxa”.</w:t>
      </w:r>
      <w:r w:rsidRPr="007A2C81">
        <w:rPr>
          <w:szCs w:val="24"/>
        </w:rPr>
        <w:t xml:space="preserve"> </w:t>
      </w:r>
      <w:r w:rsidRPr="007A2C81">
        <w:rPr>
          <w:i/>
          <w:szCs w:val="24"/>
        </w:rPr>
        <w:t>Philosophical Review</w:t>
      </w:r>
      <w:r w:rsidRPr="007A2C81">
        <w:rPr>
          <w:szCs w:val="24"/>
        </w:rPr>
        <w:t xml:space="preserve"> 90: 66-90.</w:t>
      </w:r>
    </w:p>
    <w:p w:rsidR="00B5061E" w:rsidRPr="007A2C81" w:rsidRDefault="00B5061E" w:rsidP="00B5061E">
      <w:pPr>
        <w:ind w:left="720" w:hanging="720"/>
        <w:rPr>
          <w:szCs w:val="24"/>
        </w:rPr>
      </w:pPr>
      <w:r w:rsidRPr="007A2C81">
        <w:rPr>
          <w:szCs w:val="24"/>
        </w:rPr>
        <w:t>Ereshefsky Marc</w:t>
      </w:r>
      <w:r w:rsidR="00E139C7">
        <w:rPr>
          <w:szCs w:val="24"/>
        </w:rPr>
        <w:t>. 2010. “What's Wrong with the New Biological E</w:t>
      </w:r>
      <w:r w:rsidRPr="007A2C81">
        <w:rPr>
          <w:szCs w:val="24"/>
        </w:rPr>
        <w:t>ssentialism</w:t>
      </w:r>
      <w:r w:rsidR="00E139C7">
        <w:rPr>
          <w:szCs w:val="24"/>
        </w:rPr>
        <w:t>”</w:t>
      </w:r>
      <w:r w:rsidRPr="007A2C81">
        <w:rPr>
          <w:szCs w:val="24"/>
        </w:rPr>
        <w:t xml:space="preserve">. </w:t>
      </w:r>
      <w:r w:rsidRPr="00E139C7">
        <w:rPr>
          <w:i/>
          <w:szCs w:val="24"/>
        </w:rPr>
        <w:t>Philosophy of Science</w:t>
      </w:r>
      <w:r w:rsidRPr="007A2C81">
        <w:rPr>
          <w:szCs w:val="24"/>
        </w:rPr>
        <w:t xml:space="preserve"> 77:</w:t>
      </w:r>
      <w:r w:rsidR="00E139C7">
        <w:rPr>
          <w:szCs w:val="24"/>
        </w:rPr>
        <w:t xml:space="preserve"> </w:t>
      </w:r>
      <w:r w:rsidRPr="007A2C81">
        <w:rPr>
          <w:szCs w:val="24"/>
        </w:rPr>
        <w:t>674-685</w:t>
      </w:r>
      <w:r w:rsidR="00E139C7">
        <w:rPr>
          <w:szCs w:val="24"/>
        </w:rPr>
        <w:t>.</w:t>
      </w:r>
    </w:p>
    <w:p w:rsidR="00B5061E" w:rsidRPr="007A2C81" w:rsidRDefault="00B5061E" w:rsidP="00B5061E">
      <w:pPr>
        <w:tabs>
          <w:tab w:val="left" w:pos="-720"/>
          <w:tab w:val="left" w:pos="0"/>
        </w:tabs>
        <w:suppressAutoHyphens/>
        <w:spacing w:line="240" w:lineRule="atLeast"/>
        <w:ind w:left="720" w:hanging="720"/>
        <w:rPr>
          <w:rFonts w:eastAsia="Calibri"/>
          <w:spacing w:val="-3"/>
          <w:szCs w:val="24"/>
        </w:rPr>
      </w:pPr>
      <w:r w:rsidRPr="007A2C81">
        <w:rPr>
          <w:rFonts w:eastAsia="Calibri"/>
          <w:spacing w:val="-3"/>
          <w:szCs w:val="24"/>
        </w:rPr>
        <w:t xml:space="preserve">Evans, Gareth. 1973. “The Causal Theory of Names”. </w:t>
      </w:r>
      <w:r w:rsidRPr="007A2C81">
        <w:rPr>
          <w:rFonts w:eastAsia="Calibri"/>
          <w:i/>
          <w:spacing w:val="-3"/>
          <w:szCs w:val="24"/>
        </w:rPr>
        <w:t>Proceedings of the Aristotelian Society</w:t>
      </w:r>
      <w:r w:rsidRPr="007A2C81">
        <w:rPr>
          <w:rFonts w:eastAsia="Calibri"/>
          <w:spacing w:val="-3"/>
          <w:szCs w:val="24"/>
        </w:rPr>
        <w:t>, Suppl. Vol. 47: 187-208.</w:t>
      </w:r>
    </w:p>
    <w:p w:rsidR="002C6DCE" w:rsidRPr="007A2C81" w:rsidRDefault="002C6DCE" w:rsidP="00B5061E">
      <w:pPr>
        <w:tabs>
          <w:tab w:val="left" w:pos="-720"/>
          <w:tab w:val="left" w:pos="0"/>
        </w:tabs>
        <w:suppressAutoHyphens/>
        <w:spacing w:line="240" w:lineRule="atLeast"/>
        <w:ind w:left="720" w:hanging="720"/>
        <w:rPr>
          <w:rFonts w:eastAsia="Calibri"/>
          <w:spacing w:val="-3"/>
          <w:szCs w:val="24"/>
        </w:rPr>
      </w:pPr>
      <w:r w:rsidRPr="007A2C81">
        <w:rPr>
          <w:rFonts w:eastAsia="Calibri"/>
          <w:spacing w:val="-3"/>
          <w:szCs w:val="24"/>
        </w:rPr>
        <w:t xml:space="preserve">___. 1982. </w:t>
      </w:r>
      <w:r w:rsidRPr="007A2C81">
        <w:rPr>
          <w:rFonts w:eastAsia="Calibri"/>
          <w:i/>
          <w:spacing w:val="-3"/>
          <w:szCs w:val="24"/>
        </w:rPr>
        <w:t>The Varieties of Reference</w:t>
      </w:r>
      <w:r w:rsidRPr="007A2C81">
        <w:rPr>
          <w:rFonts w:eastAsia="Calibri"/>
          <w:spacing w:val="-3"/>
          <w:szCs w:val="24"/>
        </w:rPr>
        <w:t>. Ed. John McDowell. Oxford: Clarendon Press.</w:t>
      </w:r>
    </w:p>
    <w:p w:rsidR="00B5061E" w:rsidRPr="007A2C81" w:rsidRDefault="00B5061E" w:rsidP="00B5061E">
      <w:pPr>
        <w:tabs>
          <w:tab w:val="left" w:pos="-720"/>
          <w:tab w:val="left" w:pos="0"/>
        </w:tabs>
        <w:suppressAutoHyphens/>
        <w:spacing w:line="240" w:lineRule="atLeast"/>
        <w:ind w:left="720" w:hanging="720"/>
        <w:rPr>
          <w:rFonts w:eastAsia="Calibri"/>
          <w:spacing w:val="-3"/>
          <w:szCs w:val="24"/>
        </w:rPr>
      </w:pPr>
      <w:r w:rsidRPr="007A2C81">
        <w:rPr>
          <w:spacing w:val="-3"/>
          <w:szCs w:val="24"/>
        </w:rPr>
        <w:t>Forbes</w:t>
      </w:r>
      <w:r w:rsidR="00E139C7">
        <w:rPr>
          <w:spacing w:val="-3"/>
          <w:szCs w:val="24"/>
        </w:rPr>
        <w:t>,</w:t>
      </w:r>
      <w:r w:rsidRPr="007A2C81">
        <w:rPr>
          <w:spacing w:val="-3"/>
          <w:szCs w:val="24"/>
        </w:rPr>
        <w:t xml:space="preserve"> G</w:t>
      </w:r>
      <w:r w:rsidR="00E139C7">
        <w:rPr>
          <w:spacing w:val="-3"/>
          <w:szCs w:val="24"/>
        </w:rPr>
        <w:t>. 1986.</w:t>
      </w:r>
      <w:r w:rsidRPr="007A2C81">
        <w:rPr>
          <w:szCs w:val="24"/>
        </w:rPr>
        <w:t xml:space="preserve"> </w:t>
      </w:r>
      <w:r w:rsidR="00E139C7">
        <w:rPr>
          <w:szCs w:val="24"/>
        </w:rPr>
        <w:t>“In Defense of Absolute E</w:t>
      </w:r>
      <w:r w:rsidRPr="007A2C81">
        <w:rPr>
          <w:szCs w:val="24"/>
        </w:rPr>
        <w:t>ssentialism</w:t>
      </w:r>
      <w:r w:rsidR="00E139C7">
        <w:rPr>
          <w:szCs w:val="24"/>
        </w:rPr>
        <w:t>”. In French</w:t>
      </w:r>
      <w:r w:rsidR="001455B6">
        <w:rPr>
          <w:rFonts w:eastAsia="Calibri"/>
          <w:szCs w:val="24"/>
        </w:rPr>
        <w:t xml:space="preserve"> et al.</w:t>
      </w:r>
      <w:r w:rsidR="00E139C7">
        <w:rPr>
          <w:szCs w:val="24"/>
        </w:rPr>
        <w:t xml:space="preserve"> 1986:</w:t>
      </w:r>
      <w:r w:rsidRPr="007A2C81">
        <w:rPr>
          <w:szCs w:val="24"/>
        </w:rPr>
        <w:t xml:space="preserve"> 3-31</w:t>
      </w:r>
    </w:p>
    <w:p w:rsidR="00B5061E" w:rsidRPr="007A2C81" w:rsidRDefault="00B5061E" w:rsidP="00B5061E">
      <w:pPr>
        <w:tabs>
          <w:tab w:val="left" w:pos="-720"/>
          <w:tab w:val="left" w:pos="0"/>
        </w:tabs>
        <w:suppressAutoHyphens/>
        <w:spacing w:line="240" w:lineRule="atLeast"/>
        <w:ind w:left="720" w:hanging="720"/>
        <w:rPr>
          <w:szCs w:val="24"/>
        </w:rPr>
      </w:pPr>
      <w:r w:rsidRPr="007A2C81">
        <w:rPr>
          <w:szCs w:val="24"/>
        </w:rPr>
        <w:t xml:space="preserve">French, Peter A., Theodore E. </w:t>
      </w:r>
      <w:proofErr w:type="spellStart"/>
      <w:r w:rsidRPr="007A2C81">
        <w:rPr>
          <w:szCs w:val="24"/>
        </w:rPr>
        <w:t>Uehling</w:t>
      </w:r>
      <w:proofErr w:type="spellEnd"/>
      <w:r w:rsidRPr="007A2C81">
        <w:rPr>
          <w:szCs w:val="24"/>
        </w:rPr>
        <w:t xml:space="preserve">, Jr., and Howard K. </w:t>
      </w:r>
      <w:proofErr w:type="spellStart"/>
      <w:r w:rsidRPr="007A2C81">
        <w:rPr>
          <w:szCs w:val="24"/>
        </w:rPr>
        <w:t>Wettstein</w:t>
      </w:r>
      <w:proofErr w:type="spellEnd"/>
      <w:r w:rsidR="00E139C7" w:rsidRPr="007A2C81">
        <w:rPr>
          <w:szCs w:val="24"/>
        </w:rPr>
        <w:t xml:space="preserve"> (eds</w:t>
      </w:r>
      <w:r w:rsidR="00E139C7">
        <w:rPr>
          <w:szCs w:val="24"/>
        </w:rPr>
        <w:t>.</w:t>
      </w:r>
      <w:r w:rsidR="00E139C7" w:rsidRPr="007A2C81">
        <w:rPr>
          <w:szCs w:val="24"/>
        </w:rPr>
        <w:t>)</w:t>
      </w:r>
      <w:r w:rsidR="00E139C7">
        <w:rPr>
          <w:szCs w:val="24"/>
        </w:rPr>
        <w:t>.</w:t>
      </w:r>
      <w:r w:rsidRPr="007A2C81">
        <w:rPr>
          <w:szCs w:val="24"/>
        </w:rPr>
        <w:t xml:space="preserve"> 1979. </w:t>
      </w:r>
      <w:r w:rsidRPr="007A2C81">
        <w:rPr>
          <w:i/>
          <w:szCs w:val="24"/>
        </w:rPr>
        <w:t>Contemporary Perspectives in the Philosophy of Language</w:t>
      </w:r>
      <w:r w:rsidRPr="007A2C81">
        <w:rPr>
          <w:szCs w:val="24"/>
        </w:rPr>
        <w:t>. Minneapolis: University of Minnesota Press.</w:t>
      </w:r>
    </w:p>
    <w:p w:rsidR="00B5061E" w:rsidRPr="007A2C81" w:rsidRDefault="00B5061E" w:rsidP="00B5061E">
      <w:pPr>
        <w:tabs>
          <w:tab w:val="left" w:pos="-720"/>
          <w:tab w:val="left" w:pos="0"/>
        </w:tabs>
        <w:suppressAutoHyphens/>
        <w:spacing w:line="240" w:lineRule="atLeast"/>
        <w:ind w:left="720" w:hanging="720"/>
        <w:rPr>
          <w:szCs w:val="24"/>
        </w:rPr>
      </w:pPr>
      <w:r w:rsidRPr="007A2C81">
        <w:rPr>
          <w:szCs w:val="24"/>
        </w:rPr>
        <w:t>___, ___, and ___</w:t>
      </w:r>
      <w:r w:rsidR="00E139C7" w:rsidRPr="007A2C81">
        <w:rPr>
          <w:szCs w:val="24"/>
        </w:rPr>
        <w:t xml:space="preserve"> (eds</w:t>
      </w:r>
      <w:r w:rsidR="00E139C7">
        <w:rPr>
          <w:szCs w:val="24"/>
        </w:rPr>
        <w:t>.</w:t>
      </w:r>
      <w:r w:rsidR="00E139C7" w:rsidRPr="007A2C81">
        <w:rPr>
          <w:szCs w:val="24"/>
        </w:rPr>
        <w:t>)</w:t>
      </w:r>
      <w:r w:rsidR="00E139C7">
        <w:rPr>
          <w:szCs w:val="24"/>
        </w:rPr>
        <w:t>.</w:t>
      </w:r>
      <w:r w:rsidRPr="007A2C81">
        <w:rPr>
          <w:szCs w:val="24"/>
        </w:rPr>
        <w:t xml:space="preserve"> 1981. </w:t>
      </w:r>
      <w:r w:rsidRPr="007A2C81">
        <w:rPr>
          <w:i/>
          <w:szCs w:val="24"/>
        </w:rPr>
        <w:t>Midwest Studies in Philosophy Vol. 6, The Foundations of Analytic Philosophy</w:t>
      </w:r>
      <w:r w:rsidRPr="007A2C81">
        <w:rPr>
          <w:szCs w:val="24"/>
        </w:rPr>
        <w:t>. Minneapolis: University of Minnesota Press.</w:t>
      </w:r>
    </w:p>
    <w:p w:rsidR="00B5061E" w:rsidRPr="007A2C81" w:rsidRDefault="00B5061E" w:rsidP="00B5061E">
      <w:pPr>
        <w:tabs>
          <w:tab w:val="left" w:pos="-720"/>
          <w:tab w:val="left" w:pos="0"/>
        </w:tabs>
        <w:suppressAutoHyphens/>
        <w:spacing w:line="240" w:lineRule="atLeast"/>
        <w:ind w:left="720" w:hanging="720"/>
        <w:rPr>
          <w:szCs w:val="24"/>
        </w:rPr>
      </w:pPr>
      <w:r w:rsidRPr="007A2C81">
        <w:rPr>
          <w:szCs w:val="24"/>
        </w:rPr>
        <w:t>___, ___, and ___</w:t>
      </w:r>
      <w:r w:rsidR="00E139C7" w:rsidRPr="007A2C81">
        <w:rPr>
          <w:szCs w:val="24"/>
        </w:rPr>
        <w:t xml:space="preserve"> (eds</w:t>
      </w:r>
      <w:r w:rsidR="00E139C7">
        <w:rPr>
          <w:szCs w:val="24"/>
        </w:rPr>
        <w:t>.</w:t>
      </w:r>
      <w:r w:rsidR="00E139C7" w:rsidRPr="007A2C81">
        <w:rPr>
          <w:szCs w:val="24"/>
        </w:rPr>
        <w:t>)</w:t>
      </w:r>
      <w:r w:rsidR="00E139C7">
        <w:rPr>
          <w:szCs w:val="24"/>
        </w:rPr>
        <w:t>.</w:t>
      </w:r>
      <w:r w:rsidRPr="007A2C81">
        <w:rPr>
          <w:szCs w:val="24"/>
        </w:rPr>
        <w:t xml:space="preserve"> 1984. </w:t>
      </w:r>
      <w:r w:rsidRPr="007A2C81">
        <w:rPr>
          <w:i/>
          <w:szCs w:val="24"/>
        </w:rPr>
        <w:t>Midwest Studies in Philosophy Vol. 9, Causation and Causal Theories</w:t>
      </w:r>
      <w:r w:rsidRPr="007A2C81">
        <w:rPr>
          <w:szCs w:val="24"/>
        </w:rPr>
        <w:t>. Minneapolis: University of Minnesota Press.</w:t>
      </w:r>
    </w:p>
    <w:p w:rsidR="00E139C7" w:rsidRPr="007A2C81" w:rsidRDefault="00E139C7" w:rsidP="00B5061E">
      <w:pPr>
        <w:tabs>
          <w:tab w:val="left" w:pos="-720"/>
          <w:tab w:val="left" w:pos="0"/>
        </w:tabs>
        <w:suppressAutoHyphens/>
        <w:spacing w:line="240" w:lineRule="atLeast"/>
        <w:ind w:left="720" w:hanging="720"/>
        <w:rPr>
          <w:szCs w:val="24"/>
        </w:rPr>
      </w:pPr>
      <w:r>
        <w:rPr>
          <w:szCs w:val="24"/>
        </w:rPr>
        <w:t>___, ___</w:t>
      </w:r>
      <w:r w:rsidR="00920451">
        <w:rPr>
          <w:szCs w:val="24"/>
        </w:rPr>
        <w:t>,</w:t>
      </w:r>
      <w:r>
        <w:rPr>
          <w:szCs w:val="24"/>
        </w:rPr>
        <w:t xml:space="preserve"> </w:t>
      </w:r>
      <w:r w:rsidR="00920451">
        <w:rPr>
          <w:szCs w:val="24"/>
        </w:rPr>
        <w:t>a</w:t>
      </w:r>
      <w:r>
        <w:rPr>
          <w:szCs w:val="24"/>
        </w:rPr>
        <w:t>nd___</w:t>
      </w:r>
      <w:r w:rsidRPr="007A2C81">
        <w:rPr>
          <w:szCs w:val="24"/>
        </w:rPr>
        <w:t xml:space="preserve"> (eds</w:t>
      </w:r>
      <w:r>
        <w:rPr>
          <w:szCs w:val="24"/>
        </w:rPr>
        <w:t>.</w:t>
      </w:r>
      <w:r w:rsidRPr="007A2C81">
        <w:rPr>
          <w:szCs w:val="24"/>
        </w:rPr>
        <w:t>)</w:t>
      </w:r>
      <w:r>
        <w:rPr>
          <w:szCs w:val="24"/>
        </w:rPr>
        <w:t>. 1986</w:t>
      </w:r>
      <w:r w:rsidR="00920451">
        <w:rPr>
          <w:szCs w:val="24"/>
        </w:rPr>
        <w:t xml:space="preserve">. </w:t>
      </w:r>
      <w:r w:rsidR="00920451" w:rsidRPr="007A2C81">
        <w:rPr>
          <w:i/>
          <w:szCs w:val="24"/>
        </w:rPr>
        <w:t>Midwest Studies in Philosophy Vol. 1</w:t>
      </w:r>
      <w:r w:rsidR="00920451">
        <w:rPr>
          <w:i/>
          <w:szCs w:val="24"/>
        </w:rPr>
        <w:t>1</w:t>
      </w:r>
      <w:r w:rsidR="00920451" w:rsidRPr="007A2C81">
        <w:rPr>
          <w:i/>
          <w:szCs w:val="24"/>
        </w:rPr>
        <w:t xml:space="preserve">, Studies in </w:t>
      </w:r>
      <w:r w:rsidR="00920451">
        <w:rPr>
          <w:i/>
          <w:szCs w:val="24"/>
        </w:rPr>
        <w:t>Essentialism</w:t>
      </w:r>
      <w:r w:rsidRPr="007A2C81">
        <w:rPr>
          <w:szCs w:val="24"/>
        </w:rPr>
        <w:t xml:space="preserve"> Minneapolis, U</w:t>
      </w:r>
      <w:r w:rsidR="00920451">
        <w:rPr>
          <w:szCs w:val="24"/>
        </w:rPr>
        <w:t>niversity of Minnesota Press.</w:t>
      </w:r>
    </w:p>
    <w:p w:rsidR="00920451" w:rsidRDefault="00920451" w:rsidP="00B5061E">
      <w:pPr>
        <w:tabs>
          <w:tab w:val="left" w:pos="-720"/>
          <w:tab w:val="left" w:pos="0"/>
        </w:tabs>
        <w:suppressAutoHyphens/>
        <w:spacing w:line="240" w:lineRule="atLeast"/>
        <w:ind w:left="720" w:hanging="720"/>
        <w:rPr>
          <w:szCs w:val="24"/>
        </w:rPr>
      </w:pPr>
      <w:r w:rsidRPr="007A2C81">
        <w:rPr>
          <w:szCs w:val="24"/>
        </w:rPr>
        <w:t>___, ___, and ___ (eds</w:t>
      </w:r>
      <w:r>
        <w:rPr>
          <w:szCs w:val="24"/>
        </w:rPr>
        <w:t>.</w:t>
      </w:r>
      <w:r w:rsidRPr="007A2C81">
        <w:rPr>
          <w:szCs w:val="24"/>
        </w:rPr>
        <w:t>)</w:t>
      </w:r>
      <w:r>
        <w:rPr>
          <w:szCs w:val="24"/>
        </w:rPr>
        <w:t>. 1987</w:t>
      </w:r>
      <w:r w:rsidRPr="007A2C81">
        <w:rPr>
          <w:szCs w:val="24"/>
        </w:rPr>
        <w:t xml:space="preserve">. </w:t>
      </w:r>
      <w:r w:rsidRPr="007A2C81">
        <w:rPr>
          <w:i/>
          <w:szCs w:val="24"/>
        </w:rPr>
        <w:t>Midwest Studies in Philosophy Vol. 10, Studies in the Philosophy of Mind</w:t>
      </w:r>
      <w:r w:rsidRPr="007A2C81">
        <w:rPr>
          <w:szCs w:val="24"/>
        </w:rPr>
        <w:t>. Minneapolis: University of Minnesota Press.</w:t>
      </w:r>
    </w:p>
    <w:p w:rsidR="00B5061E" w:rsidRPr="007A2C81" w:rsidRDefault="00B5061E" w:rsidP="00B5061E">
      <w:pPr>
        <w:tabs>
          <w:tab w:val="left" w:pos="-720"/>
          <w:tab w:val="left" w:pos="0"/>
        </w:tabs>
        <w:suppressAutoHyphens/>
        <w:spacing w:line="240" w:lineRule="atLeast"/>
        <w:ind w:left="720" w:hanging="720"/>
        <w:rPr>
          <w:szCs w:val="24"/>
        </w:rPr>
      </w:pPr>
      <w:r w:rsidRPr="007A2C81">
        <w:rPr>
          <w:szCs w:val="24"/>
        </w:rPr>
        <w:t>___, ___, and ___</w:t>
      </w:r>
      <w:r w:rsidR="00920451" w:rsidRPr="007A2C81">
        <w:rPr>
          <w:szCs w:val="24"/>
        </w:rPr>
        <w:t xml:space="preserve"> (eds</w:t>
      </w:r>
      <w:r w:rsidR="00920451">
        <w:rPr>
          <w:szCs w:val="24"/>
        </w:rPr>
        <w:t>.</w:t>
      </w:r>
      <w:proofErr w:type="gramStart"/>
      <w:r w:rsidR="00920451" w:rsidRPr="007A2C81">
        <w:rPr>
          <w:szCs w:val="24"/>
        </w:rPr>
        <w:t>)</w:t>
      </w:r>
      <w:r w:rsidR="00920451">
        <w:rPr>
          <w:szCs w:val="24"/>
        </w:rPr>
        <w:t>.</w:t>
      </w:r>
      <w:r w:rsidRPr="007A2C81">
        <w:rPr>
          <w:szCs w:val="24"/>
        </w:rPr>
        <w:t>.</w:t>
      </w:r>
      <w:proofErr w:type="gramEnd"/>
      <w:r w:rsidRPr="007A2C81">
        <w:rPr>
          <w:szCs w:val="24"/>
        </w:rPr>
        <w:t xml:space="preserve"> 1988. </w:t>
      </w:r>
      <w:r w:rsidRPr="007A2C81">
        <w:rPr>
          <w:i/>
          <w:szCs w:val="24"/>
        </w:rPr>
        <w:t>Midwest Studies in Philosophy Vol. 12, Realism and Antirealism</w:t>
      </w:r>
      <w:r w:rsidRPr="007A2C81">
        <w:rPr>
          <w:szCs w:val="24"/>
        </w:rPr>
        <w:t>. Minneapolis: University of Minnesota Press.</w:t>
      </w:r>
    </w:p>
    <w:p w:rsidR="00B5061E" w:rsidRDefault="00B5061E" w:rsidP="00B5061E">
      <w:pPr>
        <w:tabs>
          <w:tab w:val="left" w:pos="-720"/>
          <w:tab w:val="left" w:pos="0"/>
        </w:tabs>
        <w:suppressAutoHyphens/>
        <w:spacing w:line="240" w:lineRule="atLeast"/>
        <w:ind w:left="720" w:hanging="720"/>
        <w:rPr>
          <w:szCs w:val="24"/>
        </w:rPr>
      </w:pPr>
      <w:r w:rsidRPr="007A2C81">
        <w:rPr>
          <w:szCs w:val="24"/>
        </w:rPr>
        <w:t>___, ___, and ___</w:t>
      </w:r>
      <w:r w:rsidR="00920451" w:rsidRPr="007A2C81">
        <w:rPr>
          <w:szCs w:val="24"/>
        </w:rPr>
        <w:t xml:space="preserve"> (eds</w:t>
      </w:r>
      <w:r w:rsidR="00920451">
        <w:rPr>
          <w:szCs w:val="24"/>
        </w:rPr>
        <w:t>.</w:t>
      </w:r>
      <w:r w:rsidR="00920451" w:rsidRPr="007A2C81">
        <w:rPr>
          <w:szCs w:val="24"/>
        </w:rPr>
        <w:t>)</w:t>
      </w:r>
      <w:r w:rsidR="00920451">
        <w:rPr>
          <w:szCs w:val="24"/>
        </w:rPr>
        <w:t>.</w:t>
      </w:r>
      <w:r w:rsidRPr="007A2C81">
        <w:rPr>
          <w:szCs w:val="24"/>
        </w:rPr>
        <w:t xml:space="preserve"> 1989. </w:t>
      </w:r>
      <w:r w:rsidRPr="007A2C81">
        <w:rPr>
          <w:i/>
          <w:szCs w:val="24"/>
        </w:rPr>
        <w:t>Midwe</w:t>
      </w:r>
      <w:r w:rsidR="003F7868">
        <w:rPr>
          <w:i/>
          <w:szCs w:val="24"/>
        </w:rPr>
        <w:t>st Studies in Philosophy Vol. 14</w:t>
      </w:r>
      <w:r w:rsidRPr="007A2C81">
        <w:rPr>
          <w:i/>
          <w:szCs w:val="24"/>
        </w:rPr>
        <w:t>, Contemporary Perspectives in the Philosophy of Language II</w:t>
      </w:r>
      <w:r w:rsidRPr="007A2C81">
        <w:rPr>
          <w:szCs w:val="24"/>
        </w:rPr>
        <w:t>. Notre Dame: University of Notre Dame Press.</w:t>
      </w:r>
    </w:p>
    <w:p w:rsidR="00B72C37" w:rsidRPr="00B72C37" w:rsidRDefault="00B72C37" w:rsidP="00B5061E">
      <w:pPr>
        <w:tabs>
          <w:tab w:val="left" w:pos="-720"/>
          <w:tab w:val="left" w:pos="0"/>
        </w:tabs>
        <w:suppressAutoHyphens/>
        <w:spacing w:line="240" w:lineRule="atLeast"/>
        <w:ind w:left="720" w:hanging="720"/>
        <w:rPr>
          <w:szCs w:val="24"/>
        </w:rPr>
      </w:pPr>
      <w:r w:rsidRPr="007A2C81">
        <w:rPr>
          <w:szCs w:val="24"/>
        </w:rPr>
        <w:t>___, ___, and ___ (eds</w:t>
      </w:r>
      <w:r>
        <w:rPr>
          <w:szCs w:val="24"/>
        </w:rPr>
        <w:t>.</w:t>
      </w:r>
      <w:r w:rsidRPr="007A2C81">
        <w:rPr>
          <w:szCs w:val="24"/>
        </w:rPr>
        <w:t>)</w:t>
      </w:r>
      <w:r>
        <w:rPr>
          <w:szCs w:val="24"/>
        </w:rPr>
        <w:t xml:space="preserve">. 2007. </w:t>
      </w:r>
      <w:r w:rsidRPr="006B3D84">
        <w:rPr>
          <w:i/>
          <w:spacing w:val="-3"/>
          <w:szCs w:val="24"/>
        </w:rPr>
        <w:t>Midwest Studies in Philosophy</w:t>
      </w:r>
      <w:r w:rsidRPr="00B72C37">
        <w:rPr>
          <w:i/>
          <w:spacing w:val="-3"/>
          <w:szCs w:val="24"/>
        </w:rPr>
        <w:t xml:space="preserve"> Vol. 31</w:t>
      </w:r>
      <w:r>
        <w:rPr>
          <w:spacing w:val="-3"/>
          <w:szCs w:val="24"/>
        </w:rPr>
        <w:t>. Oxford: Blackwell Publishers.</w:t>
      </w:r>
    </w:p>
    <w:p w:rsidR="008B10BD" w:rsidRPr="00FF47EC" w:rsidRDefault="008B10BD" w:rsidP="008B10BD">
      <w:pPr>
        <w:tabs>
          <w:tab w:val="left" w:pos="-720"/>
          <w:tab w:val="left" w:pos="0"/>
        </w:tabs>
        <w:suppressAutoHyphens/>
        <w:spacing w:line="240" w:lineRule="atLeast"/>
        <w:ind w:left="720" w:hanging="720"/>
        <w:rPr>
          <w:szCs w:val="24"/>
        </w:rPr>
      </w:pPr>
      <w:r>
        <w:rPr>
          <w:szCs w:val="24"/>
        </w:rPr>
        <w:t xml:space="preserve">Godman, Marion, Antonella Mallozzi, and David Papineau. 2020. </w:t>
      </w:r>
      <w:r w:rsidRPr="008B10BD">
        <w:rPr>
          <w:szCs w:val="24"/>
        </w:rPr>
        <w:t>“</w:t>
      </w:r>
      <w:r w:rsidRPr="008B10BD">
        <w:rPr>
          <w:bCs/>
          <w:szCs w:val="24"/>
        </w:rPr>
        <w:t xml:space="preserve">Essential Properties </w:t>
      </w:r>
      <w:proofErr w:type="gramStart"/>
      <w:r w:rsidRPr="008B10BD">
        <w:rPr>
          <w:bCs/>
          <w:szCs w:val="24"/>
        </w:rPr>
        <w:t>are</w:t>
      </w:r>
      <w:proofErr w:type="gramEnd"/>
      <w:r w:rsidRPr="008B10BD">
        <w:rPr>
          <w:bCs/>
          <w:szCs w:val="24"/>
        </w:rPr>
        <w:t xml:space="preserve"> Super-Explanatory: Taming</w:t>
      </w:r>
      <w:r w:rsidR="00131684">
        <w:rPr>
          <w:bCs/>
          <w:szCs w:val="24"/>
        </w:rPr>
        <w:t xml:space="preserve"> </w:t>
      </w:r>
      <w:r w:rsidRPr="008B10BD">
        <w:rPr>
          <w:bCs/>
          <w:szCs w:val="24"/>
        </w:rPr>
        <w:t>Metaphysical Modality</w:t>
      </w:r>
      <w:r>
        <w:rPr>
          <w:bCs/>
          <w:szCs w:val="24"/>
        </w:rPr>
        <w:t>”.</w:t>
      </w:r>
      <w:r w:rsidR="00FF47EC">
        <w:rPr>
          <w:bCs/>
          <w:szCs w:val="24"/>
        </w:rPr>
        <w:t xml:space="preserve"> </w:t>
      </w:r>
      <w:r w:rsidR="00FF47EC">
        <w:rPr>
          <w:bCs/>
          <w:i/>
          <w:szCs w:val="24"/>
        </w:rPr>
        <w:t>Journal of the American Philosophical Association</w:t>
      </w:r>
      <w:r w:rsidR="00FF47EC">
        <w:rPr>
          <w:bCs/>
          <w:szCs w:val="24"/>
        </w:rPr>
        <w:t>: ##</w:t>
      </w:r>
    </w:p>
    <w:p w:rsidR="008B10BD" w:rsidRPr="007A2C81" w:rsidRDefault="008B10BD" w:rsidP="00B5061E">
      <w:pPr>
        <w:tabs>
          <w:tab w:val="left" w:pos="-720"/>
          <w:tab w:val="left" w:pos="0"/>
        </w:tabs>
        <w:suppressAutoHyphens/>
        <w:spacing w:line="240" w:lineRule="atLeast"/>
        <w:ind w:left="720" w:hanging="720"/>
        <w:rPr>
          <w:szCs w:val="24"/>
        </w:rPr>
      </w:pPr>
      <w:r>
        <w:rPr>
          <w:szCs w:val="24"/>
        </w:rPr>
        <w:t xml:space="preserve">Godman, Marion, and </w:t>
      </w:r>
      <w:r w:rsidR="00131684">
        <w:rPr>
          <w:szCs w:val="24"/>
        </w:rPr>
        <w:t>David Papineau. 2020. “Species H</w:t>
      </w:r>
      <w:r>
        <w:rPr>
          <w:szCs w:val="24"/>
        </w:rPr>
        <w:t xml:space="preserve">ave </w:t>
      </w:r>
      <w:r w:rsidR="00131684">
        <w:rPr>
          <w:szCs w:val="24"/>
        </w:rPr>
        <w:t>H</w:t>
      </w:r>
      <w:r>
        <w:rPr>
          <w:szCs w:val="24"/>
        </w:rPr>
        <w:t xml:space="preserve">istorical </w:t>
      </w:r>
      <w:proofErr w:type="gramStart"/>
      <w:r>
        <w:rPr>
          <w:szCs w:val="24"/>
        </w:rPr>
        <w:t>not</w:t>
      </w:r>
      <w:proofErr w:type="gramEnd"/>
      <w:r>
        <w:rPr>
          <w:szCs w:val="24"/>
        </w:rPr>
        <w:t xml:space="preserve"> </w:t>
      </w:r>
      <w:r w:rsidR="00131684">
        <w:rPr>
          <w:szCs w:val="24"/>
        </w:rPr>
        <w:t>I</w:t>
      </w:r>
      <w:r>
        <w:rPr>
          <w:szCs w:val="24"/>
        </w:rPr>
        <w:t xml:space="preserve">ntrinsic </w:t>
      </w:r>
      <w:r w:rsidR="00131684">
        <w:rPr>
          <w:szCs w:val="24"/>
        </w:rPr>
        <w:t>E</w:t>
      </w:r>
      <w:r>
        <w:rPr>
          <w:szCs w:val="24"/>
        </w:rPr>
        <w:t>ssences”. In Bianchi 2020a: ##</w:t>
      </w:r>
    </w:p>
    <w:p w:rsidR="00B5061E" w:rsidRPr="007A2C81" w:rsidRDefault="00B5061E" w:rsidP="00B5061E">
      <w:pPr>
        <w:tabs>
          <w:tab w:val="left" w:pos="-720"/>
          <w:tab w:val="left" w:pos="0"/>
        </w:tabs>
        <w:suppressAutoHyphens/>
        <w:spacing w:line="240" w:lineRule="atLeast"/>
        <w:ind w:left="720" w:hanging="720"/>
        <w:rPr>
          <w:szCs w:val="24"/>
        </w:rPr>
      </w:pPr>
      <w:r w:rsidRPr="007A2C81">
        <w:rPr>
          <w:szCs w:val="24"/>
        </w:rPr>
        <w:t>Griffiths P</w:t>
      </w:r>
      <w:r w:rsidR="00131684">
        <w:rPr>
          <w:szCs w:val="24"/>
        </w:rPr>
        <w:t xml:space="preserve">aul. </w:t>
      </w:r>
      <w:r w:rsidRPr="007A2C81">
        <w:rPr>
          <w:szCs w:val="24"/>
        </w:rPr>
        <w:t>1999</w:t>
      </w:r>
      <w:r w:rsidR="00131684">
        <w:rPr>
          <w:szCs w:val="24"/>
        </w:rPr>
        <w:t>.</w:t>
      </w:r>
      <w:r w:rsidRPr="007A2C81">
        <w:rPr>
          <w:szCs w:val="24"/>
        </w:rPr>
        <w:t xml:space="preserve"> </w:t>
      </w:r>
      <w:r w:rsidR="00131684">
        <w:rPr>
          <w:szCs w:val="24"/>
        </w:rPr>
        <w:t>“Squaring the Circle: Natural kinds with Historical E</w:t>
      </w:r>
      <w:r w:rsidRPr="007A2C81">
        <w:rPr>
          <w:szCs w:val="24"/>
        </w:rPr>
        <w:t xml:space="preserve">ssences. In R. A. </w:t>
      </w:r>
      <w:proofErr w:type="gramStart"/>
      <w:r w:rsidRPr="007A2C81">
        <w:rPr>
          <w:szCs w:val="24"/>
        </w:rPr>
        <w:t>Wilson  (</w:t>
      </w:r>
      <w:proofErr w:type="gramEnd"/>
      <w:r w:rsidRPr="007A2C81">
        <w:rPr>
          <w:szCs w:val="24"/>
        </w:rPr>
        <w:t>ed</w:t>
      </w:r>
      <w:r w:rsidR="00131684">
        <w:rPr>
          <w:szCs w:val="24"/>
        </w:rPr>
        <w:t>.</w:t>
      </w:r>
      <w:r w:rsidRPr="007A2C81">
        <w:rPr>
          <w:szCs w:val="24"/>
        </w:rPr>
        <w:t>)</w:t>
      </w:r>
      <w:r w:rsidR="00131684">
        <w:rPr>
          <w:szCs w:val="24"/>
        </w:rPr>
        <w:t>,</w:t>
      </w:r>
      <w:r w:rsidRPr="007A2C81">
        <w:rPr>
          <w:szCs w:val="24"/>
        </w:rPr>
        <w:t xml:space="preserve"> </w:t>
      </w:r>
      <w:r w:rsidR="00131684">
        <w:rPr>
          <w:i/>
          <w:szCs w:val="24"/>
        </w:rPr>
        <w:t>Species: New Interdisciplinary E</w:t>
      </w:r>
      <w:r w:rsidRPr="00131684">
        <w:rPr>
          <w:i/>
          <w:szCs w:val="24"/>
        </w:rPr>
        <w:t>ssays</w:t>
      </w:r>
      <w:r w:rsidRPr="007A2C81">
        <w:rPr>
          <w:szCs w:val="24"/>
        </w:rPr>
        <w:t>. Cambridge MA, MIT Press: 209-228.</w:t>
      </w:r>
    </w:p>
    <w:p w:rsidR="00B5061E" w:rsidRDefault="00B5061E" w:rsidP="00B5061E">
      <w:pPr>
        <w:ind w:left="720" w:hanging="720"/>
        <w:rPr>
          <w:szCs w:val="24"/>
        </w:rPr>
      </w:pPr>
      <w:r w:rsidRPr="007A2C81">
        <w:rPr>
          <w:szCs w:val="24"/>
        </w:rPr>
        <w:t>Haber</w:t>
      </w:r>
      <w:r w:rsidR="00131684">
        <w:rPr>
          <w:szCs w:val="24"/>
        </w:rPr>
        <w:t>,</w:t>
      </w:r>
      <w:r w:rsidRPr="007A2C81">
        <w:rPr>
          <w:szCs w:val="24"/>
        </w:rPr>
        <w:t xml:space="preserve"> M</w:t>
      </w:r>
      <w:r w:rsidR="00131684">
        <w:rPr>
          <w:szCs w:val="24"/>
        </w:rPr>
        <w:t>.</w:t>
      </w:r>
      <w:r w:rsidRPr="007A2C81">
        <w:rPr>
          <w:szCs w:val="24"/>
        </w:rPr>
        <w:t>H</w:t>
      </w:r>
      <w:r w:rsidR="00131684">
        <w:rPr>
          <w:szCs w:val="24"/>
        </w:rPr>
        <w:t>. 2012.</w:t>
      </w:r>
      <w:r w:rsidRPr="007A2C81">
        <w:rPr>
          <w:szCs w:val="24"/>
        </w:rPr>
        <w:t xml:space="preserve"> </w:t>
      </w:r>
      <w:r w:rsidR="00131684">
        <w:rPr>
          <w:szCs w:val="24"/>
        </w:rPr>
        <w:t>“</w:t>
      </w:r>
      <w:r w:rsidRPr="007A2C81">
        <w:rPr>
          <w:szCs w:val="24"/>
        </w:rPr>
        <w:t>How</w:t>
      </w:r>
      <w:r w:rsidR="00131684">
        <w:rPr>
          <w:szCs w:val="24"/>
        </w:rPr>
        <w:t xml:space="preserve"> to Misidentify a Type S</w:t>
      </w:r>
      <w:r w:rsidRPr="007A2C81">
        <w:rPr>
          <w:szCs w:val="24"/>
        </w:rPr>
        <w:t xml:space="preserve">pecimen. </w:t>
      </w:r>
      <w:r w:rsidRPr="00131684">
        <w:rPr>
          <w:i/>
          <w:szCs w:val="24"/>
        </w:rPr>
        <w:t>Biology and Philosophy</w:t>
      </w:r>
      <w:r w:rsidRPr="007A2C81">
        <w:rPr>
          <w:szCs w:val="24"/>
        </w:rPr>
        <w:t xml:space="preserve"> 27:</w:t>
      </w:r>
      <w:r w:rsidR="00131684">
        <w:rPr>
          <w:szCs w:val="24"/>
        </w:rPr>
        <w:t xml:space="preserve"> </w:t>
      </w:r>
      <w:r w:rsidRPr="007A2C81">
        <w:rPr>
          <w:szCs w:val="24"/>
        </w:rPr>
        <w:t>767–784</w:t>
      </w:r>
      <w:r w:rsidR="00822B48">
        <w:rPr>
          <w:szCs w:val="24"/>
        </w:rPr>
        <w:t>.</w:t>
      </w:r>
    </w:p>
    <w:p w:rsidR="00822B48" w:rsidRPr="007A2C81" w:rsidRDefault="00822B48" w:rsidP="00B5061E">
      <w:pPr>
        <w:ind w:left="720" w:hanging="720"/>
        <w:rPr>
          <w:szCs w:val="24"/>
        </w:rPr>
      </w:pPr>
      <w:r>
        <w:rPr>
          <w:szCs w:val="24"/>
        </w:rPr>
        <w:t>Hendry, Robin</w:t>
      </w:r>
      <w:r w:rsidR="00131684">
        <w:rPr>
          <w:szCs w:val="24"/>
        </w:rPr>
        <w:t>. (Forthcoming). “How (not) to Argue for Microstructural E</w:t>
      </w:r>
      <w:r>
        <w:rPr>
          <w:szCs w:val="24"/>
        </w:rPr>
        <w:t>ssentialism”.</w:t>
      </w:r>
    </w:p>
    <w:p w:rsidR="00B5061E" w:rsidRPr="007A2C81" w:rsidRDefault="00B5061E" w:rsidP="00B5061E">
      <w:pPr>
        <w:tabs>
          <w:tab w:val="left" w:pos="-720"/>
        </w:tabs>
        <w:spacing w:line="240" w:lineRule="atLeast"/>
        <w:ind w:left="720" w:hanging="720"/>
        <w:rPr>
          <w:rFonts w:eastAsia="Calibri"/>
          <w:szCs w:val="24"/>
        </w:rPr>
      </w:pPr>
      <w:r w:rsidRPr="007A2C81">
        <w:rPr>
          <w:rFonts w:eastAsia="Calibri"/>
          <w:szCs w:val="24"/>
        </w:rPr>
        <w:t>Horwich, Paul</w:t>
      </w:r>
      <w:r w:rsidR="00131684">
        <w:rPr>
          <w:rFonts w:eastAsia="Calibri"/>
          <w:szCs w:val="24"/>
        </w:rPr>
        <w:t>. 1998.</w:t>
      </w:r>
      <w:r w:rsidRPr="007A2C81">
        <w:rPr>
          <w:rFonts w:eastAsia="Calibri"/>
          <w:szCs w:val="24"/>
        </w:rPr>
        <w:t xml:space="preserve"> </w:t>
      </w:r>
      <w:r w:rsidRPr="007A2C81">
        <w:rPr>
          <w:rFonts w:eastAsia="Calibri"/>
          <w:i/>
          <w:szCs w:val="24"/>
        </w:rPr>
        <w:t>Meaning</w:t>
      </w:r>
      <w:r w:rsidRPr="007A2C81">
        <w:rPr>
          <w:rFonts w:eastAsia="Calibri"/>
          <w:szCs w:val="24"/>
        </w:rPr>
        <w:t>, Oxford: Oxford University Press.</w:t>
      </w:r>
    </w:p>
    <w:p w:rsidR="00B5061E" w:rsidRPr="007A2C81" w:rsidRDefault="00131684" w:rsidP="00B5061E">
      <w:pPr>
        <w:tabs>
          <w:tab w:val="left" w:pos="-720"/>
        </w:tabs>
        <w:spacing w:line="240" w:lineRule="atLeast"/>
        <w:ind w:left="720" w:hanging="720"/>
        <w:rPr>
          <w:rFonts w:eastAsia="Calibri"/>
          <w:szCs w:val="24"/>
        </w:rPr>
      </w:pPr>
      <w:r>
        <w:rPr>
          <w:rFonts w:eastAsia="Calibri"/>
          <w:szCs w:val="24"/>
        </w:rPr>
        <w:t>___. 2005.</w:t>
      </w:r>
      <w:r w:rsidR="00B5061E" w:rsidRPr="007A2C81">
        <w:rPr>
          <w:rFonts w:eastAsia="Calibri"/>
          <w:szCs w:val="24"/>
        </w:rPr>
        <w:t xml:space="preserve"> </w:t>
      </w:r>
      <w:r w:rsidR="00B5061E" w:rsidRPr="007A2C81">
        <w:rPr>
          <w:rFonts w:eastAsia="Calibri"/>
          <w:i/>
          <w:szCs w:val="24"/>
        </w:rPr>
        <w:t>Reflections on Meaning</w:t>
      </w:r>
      <w:r>
        <w:rPr>
          <w:rFonts w:eastAsia="Calibri"/>
          <w:szCs w:val="24"/>
        </w:rPr>
        <w:t>.</w:t>
      </w:r>
      <w:r w:rsidR="00B5061E" w:rsidRPr="007A2C81">
        <w:rPr>
          <w:rFonts w:eastAsia="Calibri"/>
          <w:szCs w:val="24"/>
        </w:rPr>
        <w:t xml:space="preserve"> Oxford: Oxford University Press.</w:t>
      </w:r>
    </w:p>
    <w:p w:rsidR="00B5061E" w:rsidRPr="007A2C81" w:rsidRDefault="00B5061E" w:rsidP="00B5061E">
      <w:pPr>
        <w:pStyle w:val="FootnoteText"/>
        <w:ind w:left="720" w:hanging="720"/>
        <w:rPr>
          <w:sz w:val="24"/>
          <w:szCs w:val="24"/>
        </w:rPr>
      </w:pPr>
      <w:r w:rsidRPr="007A2C81">
        <w:rPr>
          <w:sz w:val="24"/>
          <w:szCs w:val="24"/>
        </w:rPr>
        <w:t>___. 2020. “Languages and Idiolects”</w:t>
      </w:r>
      <w:r w:rsidR="00131684">
        <w:rPr>
          <w:sz w:val="24"/>
          <w:szCs w:val="24"/>
        </w:rPr>
        <w:t>.</w:t>
      </w:r>
      <w:r w:rsidRPr="007A2C81">
        <w:rPr>
          <w:sz w:val="24"/>
          <w:szCs w:val="24"/>
        </w:rPr>
        <w:t xml:space="preserve"> In Bianchi 2020a: ##</w:t>
      </w:r>
    </w:p>
    <w:p w:rsidR="00B5061E" w:rsidRPr="007A2C81" w:rsidRDefault="00B5061E" w:rsidP="00B5061E">
      <w:pPr>
        <w:tabs>
          <w:tab w:val="left" w:pos="-720"/>
          <w:tab w:val="left" w:pos="0"/>
        </w:tabs>
        <w:suppressAutoHyphens/>
        <w:spacing w:line="240" w:lineRule="atLeast"/>
        <w:ind w:left="720" w:hanging="720"/>
        <w:rPr>
          <w:rFonts w:eastAsia="Calibri"/>
          <w:spacing w:val="-3"/>
          <w:szCs w:val="24"/>
        </w:rPr>
      </w:pPr>
      <w:r w:rsidRPr="007A2C81">
        <w:rPr>
          <w:spacing w:val="-3"/>
          <w:szCs w:val="24"/>
          <w:lang w:bidi="en-US"/>
        </w:rPr>
        <w:t xml:space="preserve">Ichikawa, J., </w:t>
      </w:r>
      <w:proofErr w:type="spellStart"/>
      <w:r w:rsidR="00131684">
        <w:rPr>
          <w:spacing w:val="-3"/>
          <w:szCs w:val="24"/>
          <w:lang w:bidi="en-US"/>
        </w:rPr>
        <w:t>Maitra</w:t>
      </w:r>
      <w:proofErr w:type="spellEnd"/>
      <w:r w:rsidR="00131684">
        <w:rPr>
          <w:spacing w:val="-3"/>
          <w:szCs w:val="24"/>
          <w:lang w:bidi="en-US"/>
        </w:rPr>
        <w:t xml:space="preserve">, I., and </w:t>
      </w:r>
      <w:proofErr w:type="spellStart"/>
      <w:r w:rsidR="00131684">
        <w:rPr>
          <w:spacing w:val="-3"/>
          <w:szCs w:val="24"/>
          <w:lang w:bidi="en-US"/>
        </w:rPr>
        <w:t>Weatherson</w:t>
      </w:r>
      <w:proofErr w:type="spellEnd"/>
      <w:r w:rsidR="00131684">
        <w:rPr>
          <w:spacing w:val="-3"/>
          <w:szCs w:val="24"/>
          <w:lang w:bidi="en-US"/>
        </w:rPr>
        <w:t>, B. 2012</w:t>
      </w:r>
      <w:r w:rsidRPr="007A2C81">
        <w:rPr>
          <w:spacing w:val="-3"/>
          <w:szCs w:val="24"/>
          <w:lang w:bidi="en-US"/>
        </w:rPr>
        <w:t xml:space="preserve">. </w:t>
      </w:r>
      <w:r w:rsidR="00131684">
        <w:rPr>
          <w:spacing w:val="-3"/>
          <w:szCs w:val="24"/>
          <w:lang w:bidi="en-US"/>
        </w:rPr>
        <w:t xml:space="preserve">“In Defense of a </w:t>
      </w:r>
      <w:proofErr w:type="spellStart"/>
      <w:r w:rsidR="00131684">
        <w:rPr>
          <w:spacing w:val="-3"/>
          <w:szCs w:val="24"/>
          <w:lang w:bidi="en-US"/>
        </w:rPr>
        <w:t>Kripkean</w:t>
      </w:r>
      <w:proofErr w:type="spellEnd"/>
      <w:r w:rsidR="00131684">
        <w:rPr>
          <w:spacing w:val="-3"/>
          <w:szCs w:val="24"/>
          <w:lang w:bidi="en-US"/>
        </w:rPr>
        <w:t xml:space="preserve"> D</w:t>
      </w:r>
      <w:r w:rsidRPr="007A2C81">
        <w:rPr>
          <w:spacing w:val="-3"/>
          <w:szCs w:val="24"/>
          <w:lang w:bidi="en-US"/>
        </w:rPr>
        <w:t>ogma</w:t>
      </w:r>
      <w:r w:rsidR="00131684">
        <w:rPr>
          <w:spacing w:val="-3"/>
          <w:szCs w:val="24"/>
          <w:lang w:bidi="en-US"/>
        </w:rPr>
        <w:t>”</w:t>
      </w:r>
      <w:r w:rsidRPr="007A2C81">
        <w:rPr>
          <w:spacing w:val="-3"/>
          <w:szCs w:val="24"/>
          <w:lang w:bidi="en-US"/>
        </w:rPr>
        <w:t xml:space="preserve">. </w:t>
      </w:r>
      <w:r w:rsidRPr="007A2C81">
        <w:rPr>
          <w:i/>
          <w:spacing w:val="-3"/>
          <w:szCs w:val="24"/>
          <w:lang w:bidi="en-US"/>
        </w:rPr>
        <w:t>Philosophy and Phenomenological Research</w:t>
      </w:r>
      <w:r w:rsidR="00131684">
        <w:rPr>
          <w:spacing w:val="-3"/>
          <w:szCs w:val="24"/>
          <w:lang w:bidi="en-US"/>
        </w:rPr>
        <w:t xml:space="preserve"> 85(1):</w:t>
      </w:r>
      <w:r w:rsidRPr="007A2C81">
        <w:rPr>
          <w:spacing w:val="-3"/>
          <w:szCs w:val="24"/>
          <w:lang w:bidi="en-US"/>
        </w:rPr>
        <w:t xml:space="preserve"> </w:t>
      </w:r>
      <w:r w:rsidRPr="007A2C81">
        <w:rPr>
          <w:rStyle w:val="pubinfo"/>
          <w:szCs w:val="24"/>
        </w:rPr>
        <w:t xml:space="preserve">56-68. </w:t>
      </w:r>
      <w:hyperlink r:id="rId10" w:history="1">
        <w:r w:rsidRPr="007A2C81">
          <w:rPr>
            <w:rStyle w:val="Hyperlink"/>
            <w:rFonts w:eastAsia="Times New Roman"/>
            <w:szCs w:val="24"/>
          </w:rPr>
          <w:t>https://doi.org/10.1111/j.1933-1592.2010.00478.x</w:t>
        </w:r>
      </w:hyperlink>
    </w:p>
    <w:p w:rsidR="00B5061E" w:rsidRPr="007A2C81" w:rsidRDefault="00B5061E" w:rsidP="00B5061E">
      <w:pPr>
        <w:tabs>
          <w:tab w:val="left" w:pos="-720"/>
        </w:tabs>
        <w:spacing w:line="240" w:lineRule="atLeast"/>
        <w:ind w:left="720" w:hanging="720"/>
        <w:rPr>
          <w:rFonts w:eastAsia="Calibri"/>
          <w:szCs w:val="24"/>
        </w:rPr>
      </w:pPr>
      <w:r w:rsidRPr="007A2C81">
        <w:rPr>
          <w:rFonts w:eastAsia="Calibri"/>
          <w:szCs w:val="24"/>
        </w:rPr>
        <w:t>Jackson, Frank</w:t>
      </w:r>
      <w:r w:rsidR="00131684">
        <w:rPr>
          <w:rFonts w:eastAsia="Calibri"/>
          <w:szCs w:val="24"/>
        </w:rPr>
        <w:t>.</w:t>
      </w:r>
      <w:r w:rsidRPr="007A2C81">
        <w:rPr>
          <w:rFonts w:eastAsia="Calibri"/>
          <w:szCs w:val="24"/>
        </w:rPr>
        <w:t xml:space="preserve"> 1998. </w:t>
      </w:r>
      <w:r w:rsidRPr="007A2C81">
        <w:rPr>
          <w:rFonts w:eastAsia="Calibri"/>
          <w:i/>
          <w:szCs w:val="24"/>
        </w:rPr>
        <w:t>From Metaphysics to Ethics</w:t>
      </w:r>
      <w:r w:rsidRPr="007A2C81">
        <w:rPr>
          <w:rFonts w:eastAsia="Calibri"/>
          <w:szCs w:val="24"/>
        </w:rPr>
        <w:t>. Oxford: Clarendon Press.</w:t>
      </w:r>
    </w:p>
    <w:p w:rsidR="00B5061E" w:rsidRPr="007A2C81" w:rsidRDefault="00B5061E" w:rsidP="00B5061E">
      <w:pPr>
        <w:pStyle w:val="FootnoteText"/>
        <w:ind w:left="720" w:hanging="720"/>
        <w:rPr>
          <w:sz w:val="24"/>
          <w:szCs w:val="24"/>
        </w:rPr>
      </w:pPr>
      <w:r w:rsidRPr="007A2C81">
        <w:rPr>
          <w:rFonts w:eastAsia="Calibri"/>
          <w:sz w:val="24"/>
          <w:szCs w:val="24"/>
        </w:rPr>
        <w:t>___.</w:t>
      </w:r>
      <w:r w:rsidRPr="007A2C81">
        <w:rPr>
          <w:sz w:val="24"/>
          <w:szCs w:val="24"/>
        </w:rPr>
        <w:t xml:space="preserve"> 2020. “Language from a Naturalistic Perspective”. In Bianchi 2020a: ##</w:t>
      </w:r>
    </w:p>
    <w:p w:rsidR="00B5061E" w:rsidRPr="007A2C81" w:rsidRDefault="00B5061E" w:rsidP="00B5061E">
      <w:pPr>
        <w:tabs>
          <w:tab w:val="left" w:pos="-720"/>
        </w:tabs>
        <w:spacing w:line="240" w:lineRule="atLeast"/>
        <w:ind w:left="720" w:hanging="720"/>
        <w:rPr>
          <w:rFonts w:eastAsia="Calibri"/>
          <w:szCs w:val="24"/>
        </w:rPr>
      </w:pPr>
      <w:r w:rsidRPr="007A2C81">
        <w:rPr>
          <w:rFonts w:eastAsia="Calibri"/>
          <w:szCs w:val="24"/>
        </w:rPr>
        <w:t>Kaplan, David. 1978. “</w:t>
      </w:r>
      <w:proofErr w:type="spellStart"/>
      <w:r w:rsidRPr="007A2C81">
        <w:rPr>
          <w:rFonts w:eastAsia="Calibri"/>
          <w:szCs w:val="24"/>
        </w:rPr>
        <w:t>Dthat</w:t>
      </w:r>
      <w:proofErr w:type="spellEnd"/>
      <w:r w:rsidRPr="007A2C81">
        <w:rPr>
          <w:rFonts w:eastAsia="Calibri"/>
          <w:szCs w:val="24"/>
        </w:rPr>
        <w:t>”. In</w:t>
      </w:r>
      <w:r w:rsidR="00131684">
        <w:rPr>
          <w:rFonts w:eastAsia="Calibri"/>
          <w:szCs w:val="24"/>
        </w:rPr>
        <w:t xml:space="preserve"> P. Cole (ed.),</w:t>
      </w:r>
      <w:r w:rsidRPr="007A2C81">
        <w:rPr>
          <w:rFonts w:eastAsia="Calibri"/>
          <w:szCs w:val="24"/>
        </w:rPr>
        <w:t xml:space="preserve"> </w:t>
      </w:r>
      <w:r w:rsidRPr="007A2C81">
        <w:rPr>
          <w:rFonts w:eastAsia="Calibri"/>
          <w:i/>
          <w:szCs w:val="24"/>
        </w:rPr>
        <w:t>Syntax and Semantics 9: Pragmatics</w:t>
      </w:r>
      <w:r w:rsidR="00131684">
        <w:rPr>
          <w:rFonts w:eastAsia="Calibri"/>
          <w:szCs w:val="24"/>
        </w:rPr>
        <w:t>.</w:t>
      </w:r>
      <w:r w:rsidRPr="007A2C81">
        <w:rPr>
          <w:rFonts w:eastAsia="Calibri"/>
          <w:szCs w:val="24"/>
        </w:rPr>
        <w:t xml:space="preserve"> New York: Academic Press: 221-43.</w:t>
      </w:r>
    </w:p>
    <w:p w:rsidR="00B5061E" w:rsidRPr="007A2C81" w:rsidRDefault="00B5061E" w:rsidP="00B5061E">
      <w:pPr>
        <w:tabs>
          <w:tab w:val="left" w:pos="-720"/>
        </w:tabs>
        <w:spacing w:line="240" w:lineRule="atLeast"/>
        <w:ind w:left="720" w:hanging="720"/>
        <w:rPr>
          <w:rFonts w:eastAsia="Calibri"/>
          <w:szCs w:val="24"/>
        </w:rPr>
      </w:pPr>
      <w:r w:rsidRPr="007A2C81">
        <w:rPr>
          <w:rFonts w:eastAsia="Calibri"/>
          <w:szCs w:val="24"/>
        </w:rPr>
        <w:lastRenderedPageBreak/>
        <w:t xml:space="preserve">___. 1989a. “Demonstratives: An Essay on the Semantics, Logic, Metaphysics, and Epistemology of Demonstratives and Other </w:t>
      </w:r>
      <w:proofErr w:type="spellStart"/>
      <w:r w:rsidRPr="007A2C81">
        <w:rPr>
          <w:rFonts w:eastAsia="Calibri"/>
          <w:szCs w:val="24"/>
        </w:rPr>
        <w:t>Indexicals</w:t>
      </w:r>
      <w:proofErr w:type="spellEnd"/>
      <w:r w:rsidRPr="007A2C81">
        <w:rPr>
          <w:rFonts w:eastAsia="Calibri"/>
          <w:szCs w:val="24"/>
        </w:rPr>
        <w:t xml:space="preserve">”. In </w:t>
      </w:r>
      <w:proofErr w:type="spellStart"/>
      <w:r w:rsidRPr="007A2C81">
        <w:rPr>
          <w:rFonts w:eastAsia="Calibri"/>
          <w:szCs w:val="24"/>
        </w:rPr>
        <w:t>Almog</w:t>
      </w:r>
      <w:proofErr w:type="spellEnd"/>
      <w:r w:rsidRPr="007A2C81">
        <w:rPr>
          <w:rFonts w:eastAsia="Calibri"/>
          <w:szCs w:val="24"/>
        </w:rPr>
        <w:t xml:space="preserve">, Perry, and </w:t>
      </w:r>
      <w:proofErr w:type="spellStart"/>
      <w:r w:rsidRPr="007A2C81">
        <w:rPr>
          <w:rFonts w:eastAsia="Calibri"/>
          <w:szCs w:val="24"/>
        </w:rPr>
        <w:t>Wettstein</w:t>
      </w:r>
      <w:proofErr w:type="spellEnd"/>
      <w:r w:rsidRPr="007A2C81">
        <w:rPr>
          <w:rFonts w:eastAsia="Calibri"/>
          <w:szCs w:val="24"/>
        </w:rPr>
        <w:t xml:space="preserve"> 1989: 510</w:t>
      </w:r>
      <w:r w:rsidRPr="007A2C81">
        <w:rPr>
          <w:rFonts w:eastAsia="Calibri"/>
          <w:szCs w:val="24"/>
        </w:rPr>
        <w:noBreakHyphen/>
        <w:t>63.</w:t>
      </w:r>
    </w:p>
    <w:p w:rsidR="00B5061E" w:rsidRPr="007A2C81" w:rsidRDefault="00B5061E" w:rsidP="00B5061E">
      <w:pPr>
        <w:tabs>
          <w:tab w:val="left" w:pos="-720"/>
        </w:tabs>
        <w:spacing w:line="240" w:lineRule="atLeast"/>
        <w:ind w:left="720" w:hanging="720"/>
        <w:rPr>
          <w:rFonts w:eastAsia="Calibri"/>
          <w:szCs w:val="24"/>
        </w:rPr>
      </w:pPr>
      <w:r w:rsidRPr="007A2C81">
        <w:rPr>
          <w:szCs w:val="24"/>
        </w:rPr>
        <w:t>___</w:t>
      </w:r>
      <w:r w:rsidRPr="007A2C81">
        <w:rPr>
          <w:rFonts w:eastAsia="Calibri"/>
          <w:szCs w:val="24"/>
        </w:rPr>
        <w:t xml:space="preserve">. 1989b. “Afterthoughts”. In </w:t>
      </w:r>
      <w:proofErr w:type="spellStart"/>
      <w:r w:rsidRPr="007A2C81">
        <w:rPr>
          <w:rFonts w:eastAsia="Calibri"/>
          <w:szCs w:val="24"/>
        </w:rPr>
        <w:t>Almog</w:t>
      </w:r>
      <w:proofErr w:type="spellEnd"/>
      <w:r w:rsidRPr="007A2C81">
        <w:rPr>
          <w:rFonts w:eastAsia="Calibri"/>
          <w:szCs w:val="24"/>
        </w:rPr>
        <w:t xml:space="preserve">, Perry, and </w:t>
      </w:r>
      <w:proofErr w:type="spellStart"/>
      <w:r w:rsidRPr="007A2C81">
        <w:rPr>
          <w:rFonts w:eastAsia="Calibri"/>
          <w:szCs w:val="24"/>
        </w:rPr>
        <w:t>Wettstein</w:t>
      </w:r>
      <w:proofErr w:type="spellEnd"/>
      <w:r w:rsidRPr="007A2C81">
        <w:rPr>
          <w:rFonts w:eastAsia="Calibri"/>
          <w:szCs w:val="24"/>
        </w:rPr>
        <w:t xml:space="preserve"> 1989: 565-614.</w:t>
      </w:r>
    </w:p>
    <w:p w:rsidR="003B68F8" w:rsidRDefault="00B5061E" w:rsidP="003B68F8">
      <w:pPr>
        <w:tabs>
          <w:tab w:val="left" w:pos="-720"/>
        </w:tabs>
        <w:spacing w:line="240" w:lineRule="atLeast"/>
        <w:ind w:left="720" w:hanging="720"/>
        <w:rPr>
          <w:spacing w:val="-3"/>
          <w:szCs w:val="24"/>
        </w:rPr>
      </w:pPr>
      <w:r w:rsidRPr="007A2C81">
        <w:rPr>
          <w:spacing w:val="-3"/>
          <w:szCs w:val="24"/>
        </w:rPr>
        <w:t>___. 2012.</w:t>
      </w:r>
      <w:r w:rsidR="009B6C49" w:rsidRPr="009B6C49">
        <w:rPr>
          <w:spacing w:val="-3"/>
        </w:rPr>
        <w:t xml:space="preserve"> </w:t>
      </w:r>
      <w:r w:rsidR="009B6C49">
        <w:rPr>
          <w:spacing w:val="-3"/>
        </w:rPr>
        <w:t>“An Idea of Donnellan”.</w:t>
      </w:r>
      <w:r w:rsidRPr="007A2C81">
        <w:rPr>
          <w:spacing w:val="-3"/>
          <w:szCs w:val="24"/>
        </w:rPr>
        <w:t xml:space="preserve"> In Joseph </w:t>
      </w:r>
      <w:proofErr w:type="spellStart"/>
      <w:r w:rsidRPr="007A2C81">
        <w:rPr>
          <w:rFonts w:eastAsia="Calibri"/>
          <w:szCs w:val="24"/>
        </w:rPr>
        <w:t>Almog</w:t>
      </w:r>
      <w:proofErr w:type="spellEnd"/>
      <w:r w:rsidRPr="007A2C81">
        <w:rPr>
          <w:rFonts w:eastAsia="Calibri"/>
          <w:szCs w:val="24"/>
        </w:rPr>
        <w:t xml:space="preserve"> and </w:t>
      </w:r>
      <w:r w:rsidRPr="007A2C81">
        <w:rPr>
          <w:spacing w:val="-3"/>
          <w:szCs w:val="24"/>
        </w:rPr>
        <w:t xml:space="preserve">Paolo </w:t>
      </w:r>
      <w:proofErr w:type="spellStart"/>
      <w:r w:rsidRPr="007A2C81">
        <w:rPr>
          <w:spacing w:val="-3"/>
          <w:szCs w:val="24"/>
        </w:rPr>
        <w:t>Leonardi</w:t>
      </w:r>
      <w:proofErr w:type="spellEnd"/>
      <w:r w:rsidRPr="007A2C81">
        <w:rPr>
          <w:spacing w:val="-3"/>
          <w:szCs w:val="24"/>
        </w:rPr>
        <w:t>, eds</w:t>
      </w:r>
      <w:r w:rsidRPr="007A2C81">
        <w:rPr>
          <w:rFonts w:eastAsia="Calibri"/>
          <w:szCs w:val="24"/>
        </w:rPr>
        <w:t>.,</w:t>
      </w:r>
      <w:r w:rsidRPr="007A2C81">
        <w:rPr>
          <w:spacing w:val="-3"/>
          <w:szCs w:val="24"/>
        </w:rPr>
        <w:t xml:space="preserve"> </w:t>
      </w:r>
      <w:r w:rsidRPr="007A2C81">
        <w:rPr>
          <w:i/>
          <w:spacing w:val="-3"/>
          <w:szCs w:val="24"/>
        </w:rPr>
        <w:t>Having in Mind: The Philosophy of Keith Donnellan</w:t>
      </w:r>
      <w:r w:rsidRPr="007A2C81">
        <w:rPr>
          <w:spacing w:val="-3"/>
          <w:szCs w:val="24"/>
        </w:rPr>
        <w:t>. New York: Oxford University Press: 122-75.</w:t>
      </w:r>
    </w:p>
    <w:p w:rsidR="003B68F8" w:rsidRPr="007A2C81" w:rsidRDefault="001455B6" w:rsidP="003B68F8">
      <w:pPr>
        <w:tabs>
          <w:tab w:val="left" w:pos="-720"/>
        </w:tabs>
        <w:spacing w:line="240" w:lineRule="atLeast"/>
        <w:ind w:left="720" w:hanging="720"/>
        <w:rPr>
          <w:spacing w:val="-3"/>
          <w:szCs w:val="24"/>
        </w:rPr>
      </w:pPr>
      <w:r>
        <w:rPr>
          <w:spacing w:val="-3"/>
          <w:szCs w:val="24"/>
        </w:rPr>
        <w:t xml:space="preserve">Kitcher, Philip. </w:t>
      </w:r>
      <w:r w:rsidR="003B68F8" w:rsidRPr="003B68F8">
        <w:rPr>
          <w:spacing w:val="-3"/>
          <w:szCs w:val="24"/>
        </w:rPr>
        <w:t>1984</w:t>
      </w:r>
      <w:r>
        <w:rPr>
          <w:spacing w:val="-3"/>
          <w:szCs w:val="24"/>
        </w:rPr>
        <w:t>. “Species”.</w:t>
      </w:r>
      <w:r w:rsidR="003B68F8" w:rsidRPr="003B68F8">
        <w:rPr>
          <w:spacing w:val="-3"/>
          <w:szCs w:val="24"/>
        </w:rPr>
        <w:t xml:space="preserve"> </w:t>
      </w:r>
      <w:r w:rsidR="003B68F8" w:rsidRPr="003B68F8">
        <w:rPr>
          <w:i/>
          <w:iCs/>
          <w:spacing w:val="-3"/>
          <w:szCs w:val="24"/>
        </w:rPr>
        <w:t xml:space="preserve">Philosophy of Science </w:t>
      </w:r>
      <w:r w:rsidR="003B68F8" w:rsidRPr="003B68F8">
        <w:rPr>
          <w:spacing w:val="-3"/>
          <w:szCs w:val="24"/>
        </w:rPr>
        <w:t>51: 308–333.</w:t>
      </w:r>
    </w:p>
    <w:p w:rsidR="00B5061E" w:rsidRPr="007A2C81" w:rsidRDefault="00B5061E" w:rsidP="00B5061E">
      <w:pPr>
        <w:tabs>
          <w:tab w:val="left" w:pos="-720"/>
        </w:tabs>
        <w:spacing w:line="240" w:lineRule="atLeast"/>
        <w:ind w:left="720" w:hanging="720"/>
        <w:rPr>
          <w:szCs w:val="24"/>
        </w:rPr>
      </w:pPr>
      <w:r w:rsidRPr="007A2C81">
        <w:rPr>
          <w:szCs w:val="24"/>
        </w:rPr>
        <w:t>Kripke, Saul A. 1972. “Naming and Necessity”. In Davidson and Harman 1972: 253-355.</w:t>
      </w:r>
    </w:p>
    <w:p w:rsidR="00B5061E" w:rsidRPr="007A2C81" w:rsidRDefault="00B5061E" w:rsidP="00B5061E">
      <w:pPr>
        <w:tabs>
          <w:tab w:val="left" w:pos="-720"/>
        </w:tabs>
        <w:spacing w:line="240" w:lineRule="atLeast"/>
        <w:ind w:left="720" w:hanging="720"/>
        <w:rPr>
          <w:spacing w:val="-3"/>
          <w:szCs w:val="24"/>
        </w:rPr>
      </w:pPr>
      <w:r w:rsidRPr="007A2C81">
        <w:rPr>
          <w:spacing w:val="-3"/>
          <w:szCs w:val="24"/>
        </w:rPr>
        <w:t xml:space="preserve">___. 1980. </w:t>
      </w:r>
      <w:r w:rsidRPr="007A2C81">
        <w:rPr>
          <w:i/>
          <w:spacing w:val="-3"/>
          <w:szCs w:val="24"/>
        </w:rPr>
        <w:t>Naming and Necessity</w:t>
      </w:r>
      <w:r w:rsidRPr="007A2C81">
        <w:rPr>
          <w:spacing w:val="-3"/>
          <w:szCs w:val="24"/>
        </w:rPr>
        <w:t>. Cambridge, MA: Harvard University Press.</w:t>
      </w:r>
    </w:p>
    <w:p w:rsidR="00B5061E" w:rsidRPr="007A2C81" w:rsidRDefault="00B5061E" w:rsidP="00B5061E">
      <w:pPr>
        <w:ind w:left="720" w:hanging="720"/>
        <w:rPr>
          <w:spacing w:val="-3"/>
          <w:szCs w:val="24"/>
        </w:rPr>
      </w:pPr>
      <w:r w:rsidRPr="007A2C81">
        <w:rPr>
          <w:spacing w:val="-3"/>
          <w:szCs w:val="24"/>
        </w:rPr>
        <w:t xml:space="preserve">Kroon, Frederick. 1987. </w:t>
      </w:r>
      <w:r w:rsidR="001455B6">
        <w:rPr>
          <w:spacing w:val="-3"/>
          <w:szCs w:val="24"/>
        </w:rPr>
        <w:t>“Causal D</w:t>
      </w:r>
      <w:r w:rsidRPr="007A2C81">
        <w:rPr>
          <w:spacing w:val="-3"/>
          <w:szCs w:val="24"/>
        </w:rPr>
        <w:t>escriptivism</w:t>
      </w:r>
      <w:r w:rsidR="001455B6">
        <w:rPr>
          <w:spacing w:val="-3"/>
          <w:szCs w:val="24"/>
        </w:rPr>
        <w:t>”</w:t>
      </w:r>
      <w:r w:rsidRPr="007A2C81">
        <w:rPr>
          <w:spacing w:val="-3"/>
          <w:szCs w:val="24"/>
        </w:rPr>
        <w:t xml:space="preserve">. </w:t>
      </w:r>
      <w:r w:rsidRPr="007A2C81">
        <w:rPr>
          <w:i/>
          <w:spacing w:val="-3"/>
          <w:szCs w:val="24"/>
        </w:rPr>
        <w:t>Australasian Journal of Philosophy</w:t>
      </w:r>
      <w:r w:rsidRPr="007A2C81">
        <w:rPr>
          <w:spacing w:val="-3"/>
          <w:szCs w:val="24"/>
        </w:rPr>
        <w:t xml:space="preserve"> 65: 1–17.</w:t>
      </w:r>
    </w:p>
    <w:p w:rsidR="00B5061E" w:rsidRPr="007A2C81" w:rsidRDefault="00B5061E" w:rsidP="00B5061E">
      <w:pPr>
        <w:pStyle w:val="FootnoteText"/>
        <w:ind w:left="720" w:hanging="720"/>
        <w:rPr>
          <w:sz w:val="24"/>
          <w:szCs w:val="24"/>
        </w:rPr>
      </w:pPr>
      <w:r w:rsidRPr="007A2C81">
        <w:rPr>
          <w:sz w:val="24"/>
          <w:szCs w:val="24"/>
        </w:rPr>
        <w:t>LaPorte, Joseph</w:t>
      </w:r>
      <w:r w:rsidR="001455B6">
        <w:rPr>
          <w:sz w:val="24"/>
          <w:szCs w:val="24"/>
        </w:rPr>
        <w:t>. 1997. “Essential Membership”</w:t>
      </w:r>
      <w:r w:rsidRPr="007A2C81">
        <w:rPr>
          <w:sz w:val="24"/>
          <w:szCs w:val="24"/>
        </w:rPr>
        <w:t xml:space="preserve">. </w:t>
      </w:r>
      <w:r w:rsidRPr="007A2C81">
        <w:rPr>
          <w:i/>
          <w:sz w:val="24"/>
          <w:szCs w:val="24"/>
        </w:rPr>
        <w:t>Philosophy of Science</w:t>
      </w:r>
      <w:r w:rsidR="001455B6">
        <w:rPr>
          <w:sz w:val="24"/>
          <w:szCs w:val="24"/>
        </w:rPr>
        <w:t xml:space="preserve"> 64:</w:t>
      </w:r>
      <w:r w:rsidRPr="007A2C81">
        <w:rPr>
          <w:sz w:val="24"/>
          <w:szCs w:val="24"/>
        </w:rPr>
        <w:t xml:space="preserve"> 96-112.</w:t>
      </w:r>
    </w:p>
    <w:p w:rsidR="00B5061E" w:rsidRPr="007A2C81" w:rsidRDefault="001455B6" w:rsidP="00B5061E">
      <w:pPr>
        <w:pStyle w:val="FootnoteText"/>
        <w:ind w:left="720" w:hanging="720"/>
        <w:rPr>
          <w:sz w:val="24"/>
          <w:szCs w:val="24"/>
        </w:rPr>
      </w:pPr>
      <w:r>
        <w:rPr>
          <w:sz w:val="24"/>
          <w:szCs w:val="24"/>
        </w:rPr>
        <w:t>___. 2000. “</w:t>
      </w:r>
      <w:r w:rsidR="00B5061E" w:rsidRPr="007A2C81">
        <w:rPr>
          <w:sz w:val="24"/>
          <w:szCs w:val="24"/>
        </w:rPr>
        <w:t>Rigidity and Kind</w:t>
      </w:r>
      <w:r>
        <w:rPr>
          <w:sz w:val="24"/>
          <w:szCs w:val="24"/>
        </w:rPr>
        <w:t>”.</w:t>
      </w:r>
      <w:r w:rsidR="00B5061E" w:rsidRPr="007A2C81">
        <w:rPr>
          <w:sz w:val="24"/>
          <w:szCs w:val="24"/>
        </w:rPr>
        <w:t xml:space="preserve"> </w:t>
      </w:r>
      <w:r w:rsidR="00B5061E" w:rsidRPr="007A2C81">
        <w:rPr>
          <w:i/>
          <w:sz w:val="24"/>
          <w:szCs w:val="24"/>
        </w:rPr>
        <w:t>Philosophical Studies</w:t>
      </w:r>
      <w:r>
        <w:rPr>
          <w:sz w:val="24"/>
          <w:szCs w:val="24"/>
        </w:rPr>
        <w:t xml:space="preserve"> 97:</w:t>
      </w:r>
      <w:r w:rsidR="00B5061E" w:rsidRPr="007A2C81">
        <w:rPr>
          <w:sz w:val="24"/>
          <w:szCs w:val="24"/>
        </w:rPr>
        <w:t xml:space="preserve"> 293-316.</w:t>
      </w:r>
    </w:p>
    <w:p w:rsidR="00B5061E" w:rsidRPr="007A2C81" w:rsidRDefault="00B5061E" w:rsidP="00B5061E">
      <w:pPr>
        <w:tabs>
          <w:tab w:val="left" w:pos="-720"/>
        </w:tabs>
        <w:spacing w:line="240" w:lineRule="atLeast"/>
        <w:ind w:left="720" w:hanging="720"/>
        <w:rPr>
          <w:spacing w:val="-3"/>
          <w:szCs w:val="24"/>
        </w:rPr>
      </w:pPr>
      <w:r w:rsidRPr="007A2C81">
        <w:rPr>
          <w:spacing w:val="-3"/>
          <w:szCs w:val="24"/>
        </w:rPr>
        <w:t>Lepore, Ernest, and Bar</w:t>
      </w:r>
      <w:r w:rsidR="00920451">
        <w:rPr>
          <w:spacing w:val="-3"/>
          <w:szCs w:val="24"/>
        </w:rPr>
        <w:t>ry Loewer. 1987</w:t>
      </w:r>
      <w:r w:rsidRPr="007A2C81">
        <w:rPr>
          <w:spacing w:val="-3"/>
          <w:szCs w:val="24"/>
        </w:rPr>
        <w:t>. “Solipsistic Semantics”. In Fre</w:t>
      </w:r>
      <w:r w:rsidR="00920451">
        <w:rPr>
          <w:spacing w:val="-3"/>
          <w:szCs w:val="24"/>
        </w:rPr>
        <w:t>nch</w:t>
      </w:r>
      <w:r w:rsidR="001455B6">
        <w:rPr>
          <w:rFonts w:eastAsia="Calibri"/>
          <w:szCs w:val="24"/>
        </w:rPr>
        <w:t xml:space="preserve"> et al.</w:t>
      </w:r>
      <w:r w:rsidR="00920451">
        <w:rPr>
          <w:spacing w:val="-3"/>
          <w:szCs w:val="24"/>
        </w:rPr>
        <w:t xml:space="preserve"> 1987</w:t>
      </w:r>
      <w:r w:rsidRPr="007A2C81">
        <w:rPr>
          <w:spacing w:val="-3"/>
          <w:szCs w:val="24"/>
        </w:rPr>
        <w:t>: 595</w:t>
      </w:r>
      <w:r w:rsidRPr="007A2C81">
        <w:rPr>
          <w:spacing w:val="-3"/>
          <w:szCs w:val="24"/>
        </w:rPr>
        <w:noBreakHyphen/>
        <w:t>614.</w:t>
      </w:r>
    </w:p>
    <w:p w:rsidR="00B5061E" w:rsidRPr="007A2C81" w:rsidRDefault="00857808" w:rsidP="00B5061E">
      <w:pPr>
        <w:ind w:left="720" w:hanging="720"/>
        <w:rPr>
          <w:spacing w:val="-3"/>
          <w:szCs w:val="24"/>
        </w:rPr>
      </w:pPr>
      <w:r>
        <w:rPr>
          <w:szCs w:val="24"/>
        </w:rPr>
        <w:t>Leslie, Sarah-Jane. 2013.</w:t>
      </w:r>
      <w:r w:rsidR="00B5061E" w:rsidRPr="007A2C81">
        <w:rPr>
          <w:szCs w:val="24"/>
        </w:rPr>
        <w:t xml:space="preserve"> </w:t>
      </w:r>
      <w:r>
        <w:rPr>
          <w:szCs w:val="24"/>
        </w:rPr>
        <w:t>“Essence and Natural K</w:t>
      </w:r>
      <w:r w:rsidR="00B5061E" w:rsidRPr="007A2C81">
        <w:rPr>
          <w:szCs w:val="24"/>
        </w:rPr>
        <w:t>inds</w:t>
      </w:r>
      <w:r>
        <w:rPr>
          <w:szCs w:val="24"/>
        </w:rPr>
        <w:t>: When Science Meets Preschooler I</w:t>
      </w:r>
      <w:r w:rsidR="00B5061E" w:rsidRPr="007A2C81">
        <w:rPr>
          <w:szCs w:val="24"/>
        </w:rPr>
        <w:t>ntuition</w:t>
      </w:r>
      <w:r>
        <w:rPr>
          <w:szCs w:val="24"/>
        </w:rPr>
        <w:t>”. In</w:t>
      </w:r>
      <w:r w:rsidR="00B5061E" w:rsidRPr="007A2C81">
        <w:rPr>
          <w:szCs w:val="24"/>
        </w:rPr>
        <w:t xml:space="preserve"> </w:t>
      </w:r>
      <w:r>
        <w:rPr>
          <w:szCs w:val="24"/>
        </w:rPr>
        <w:t xml:space="preserve">T. S. </w:t>
      </w:r>
      <w:proofErr w:type="spellStart"/>
      <w:r w:rsidR="00B5061E" w:rsidRPr="007A2C81">
        <w:rPr>
          <w:szCs w:val="24"/>
        </w:rPr>
        <w:t>Gendler</w:t>
      </w:r>
      <w:proofErr w:type="spellEnd"/>
      <w:r>
        <w:rPr>
          <w:szCs w:val="24"/>
        </w:rPr>
        <w:t>,</w:t>
      </w:r>
      <w:r w:rsidR="00B5061E" w:rsidRPr="007A2C81">
        <w:rPr>
          <w:szCs w:val="24"/>
        </w:rPr>
        <w:t xml:space="preserve"> </w:t>
      </w:r>
      <w:r>
        <w:rPr>
          <w:szCs w:val="24"/>
        </w:rPr>
        <w:t xml:space="preserve">J. </w:t>
      </w:r>
      <w:r w:rsidR="00B5061E" w:rsidRPr="007A2C81">
        <w:rPr>
          <w:szCs w:val="24"/>
        </w:rPr>
        <w:t>Hawthorne (eds</w:t>
      </w:r>
      <w:r>
        <w:rPr>
          <w:szCs w:val="24"/>
        </w:rPr>
        <w:t>.</w:t>
      </w:r>
      <w:r w:rsidR="00B5061E" w:rsidRPr="007A2C81">
        <w:rPr>
          <w:szCs w:val="24"/>
        </w:rPr>
        <w:t>)</w:t>
      </w:r>
      <w:r>
        <w:rPr>
          <w:szCs w:val="24"/>
        </w:rPr>
        <w:t xml:space="preserve">, </w:t>
      </w:r>
      <w:r w:rsidRPr="00857808">
        <w:rPr>
          <w:i/>
          <w:szCs w:val="24"/>
        </w:rPr>
        <w:t>Oxford Studies in E</w:t>
      </w:r>
      <w:r>
        <w:rPr>
          <w:i/>
          <w:szCs w:val="24"/>
        </w:rPr>
        <w:t>pistemology V</w:t>
      </w:r>
      <w:r w:rsidR="00B5061E" w:rsidRPr="00857808">
        <w:rPr>
          <w:i/>
          <w:szCs w:val="24"/>
        </w:rPr>
        <w:t>olume 4</w:t>
      </w:r>
      <w:r w:rsidR="00B5061E" w:rsidRPr="007A2C81">
        <w:rPr>
          <w:szCs w:val="24"/>
        </w:rPr>
        <w:t>. Oxfor</w:t>
      </w:r>
      <w:r>
        <w:rPr>
          <w:szCs w:val="24"/>
        </w:rPr>
        <w:t xml:space="preserve">d: Oxford University Press: </w:t>
      </w:r>
      <w:r w:rsidR="00B5061E" w:rsidRPr="007A2C81">
        <w:rPr>
          <w:szCs w:val="24"/>
        </w:rPr>
        <w:t>108-65</w:t>
      </w:r>
      <w:r>
        <w:rPr>
          <w:szCs w:val="24"/>
        </w:rPr>
        <w:t>.</w:t>
      </w:r>
    </w:p>
    <w:p w:rsidR="002D444B" w:rsidRPr="007A2C81" w:rsidRDefault="00B5061E" w:rsidP="002D444B">
      <w:pPr>
        <w:tabs>
          <w:tab w:val="left" w:pos="-720"/>
        </w:tabs>
        <w:spacing w:line="240" w:lineRule="atLeast"/>
        <w:ind w:left="720" w:hanging="720"/>
        <w:rPr>
          <w:szCs w:val="24"/>
        </w:rPr>
      </w:pPr>
      <w:proofErr w:type="spellStart"/>
      <w:r w:rsidRPr="007A2C81">
        <w:rPr>
          <w:szCs w:val="24"/>
        </w:rPr>
        <w:t>Lewens</w:t>
      </w:r>
      <w:proofErr w:type="spellEnd"/>
      <w:r w:rsidR="00857808">
        <w:rPr>
          <w:szCs w:val="24"/>
        </w:rPr>
        <w:t>,</w:t>
      </w:r>
      <w:r w:rsidRPr="007A2C81">
        <w:rPr>
          <w:szCs w:val="24"/>
        </w:rPr>
        <w:t xml:space="preserve"> T</w:t>
      </w:r>
      <w:r w:rsidR="00857808">
        <w:rPr>
          <w:szCs w:val="24"/>
        </w:rPr>
        <w:t xml:space="preserve">. </w:t>
      </w:r>
      <w:r w:rsidRPr="007A2C81">
        <w:rPr>
          <w:szCs w:val="24"/>
        </w:rPr>
        <w:t>2012</w:t>
      </w:r>
      <w:r w:rsidR="00857808">
        <w:rPr>
          <w:szCs w:val="24"/>
        </w:rPr>
        <w:t>.</w:t>
      </w:r>
      <w:r w:rsidRPr="007A2C81">
        <w:rPr>
          <w:szCs w:val="24"/>
        </w:rPr>
        <w:t xml:space="preserve"> </w:t>
      </w:r>
      <w:r w:rsidR="00857808">
        <w:rPr>
          <w:szCs w:val="24"/>
        </w:rPr>
        <w:t>“Species Essence and E</w:t>
      </w:r>
      <w:r w:rsidRPr="007A2C81">
        <w:rPr>
          <w:szCs w:val="24"/>
        </w:rPr>
        <w:t>xplanation</w:t>
      </w:r>
      <w:r w:rsidR="00857808">
        <w:rPr>
          <w:szCs w:val="24"/>
        </w:rPr>
        <w:t>”</w:t>
      </w:r>
      <w:r w:rsidRPr="007A2C81">
        <w:rPr>
          <w:szCs w:val="24"/>
        </w:rPr>
        <w:t xml:space="preserve">. </w:t>
      </w:r>
      <w:r w:rsidRPr="00857808">
        <w:rPr>
          <w:i/>
          <w:szCs w:val="24"/>
        </w:rPr>
        <w:t>Studies in History and Philosophy of Biological and Biomedical Sciences</w:t>
      </w:r>
      <w:r w:rsidRPr="007A2C81">
        <w:rPr>
          <w:szCs w:val="24"/>
        </w:rPr>
        <w:t xml:space="preserve"> 43:</w:t>
      </w:r>
      <w:r w:rsidR="00857808">
        <w:rPr>
          <w:szCs w:val="24"/>
        </w:rPr>
        <w:t xml:space="preserve"> </w:t>
      </w:r>
      <w:r w:rsidRPr="007A2C81">
        <w:rPr>
          <w:szCs w:val="24"/>
        </w:rPr>
        <w:t>751–757</w:t>
      </w:r>
      <w:r w:rsidR="00857808">
        <w:rPr>
          <w:szCs w:val="24"/>
        </w:rPr>
        <w:t>.</w:t>
      </w:r>
    </w:p>
    <w:p w:rsidR="00B5061E" w:rsidRPr="007A2C81" w:rsidRDefault="00B5061E" w:rsidP="00B5061E">
      <w:pPr>
        <w:tabs>
          <w:tab w:val="left" w:pos="-720"/>
        </w:tabs>
        <w:spacing w:line="240" w:lineRule="atLeast"/>
        <w:ind w:left="720" w:hanging="720"/>
        <w:rPr>
          <w:bCs/>
          <w:szCs w:val="24"/>
        </w:rPr>
      </w:pPr>
      <w:r w:rsidRPr="007A2C81">
        <w:rPr>
          <w:szCs w:val="24"/>
        </w:rPr>
        <w:t>Levine A</w:t>
      </w:r>
      <w:r w:rsidR="00857808">
        <w:rPr>
          <w:szCs w:val="24"/>
        </w:rPr>
        <w:t>. 2001.</w:t>
      </w:r>
      <w:r w:rsidRPr="007A2C81">
        <w:rPr>
          <w:szCs w:val="24"/>
        </w:rPr>
        <w:t xml:space="preserve"> </w:t>
      </w:r>
      <w:r w:rsidR="00857808">
        <w:rPr>
          <w:szCs w:val="24"/>
        </w:rPr>
        <w:t>“</w:t>
      </w:r>
      <w:r w:rsidR="00857808">
        <w:rPr>
          <w:bCs/>
          <w:szCs w:val="24"/>
        </w:rPr>
        <w:t xml:space="preserve">Individualism, Type Specimens, and the </w:t>
      </w:r>
      <w:proofErr w:type="spellStart"/>
      <w:r w:rsidR="00857808">
        <w:rPr>
          <w:bCs/>
          <w:szCs w:val="24"/>
        </w:rPr>
        <w:t>Scrutability</w:t>
      </w:r>
      <w:proofErr w:type="spellEnd"/>
      <w:r w:rsidR="00857808">
        <w:rPr>
          <w:bCs/>
          <w:szCs w:val="24"/>
        </w:rPr>
        <w:t xml:space="preserve"> of S</w:t>
      </w:r>
      <w:r w:rsidRPr="007A2C81">
        <w:rPr>
          <w:bCs/>
          <w:szCs w:val="24"/>
        </w:rPr>
        <w:t>pe</w:t>
      </w:r>
      <w:r w:rsidR="00857808">
        <w:rPr>
          <w:bCs/>
          <w:szCs w:val="24"/>
        </w:rPr>
        <w:t>cies M</w:t>
      </w:r>
      <w:r w:rsidRPr="007A2C81">
        <w:rPr>
          <w:bCs/>
          <w:szCs w:val="24"/>
        </w:rPr>
        <w:t>embership</w:t>
      </w:r>
      <w:r w:rsidR="00857808">
        <w:rPr>
          <w:bCs/>
          <w:szCs w:val="24"/>
        </w:rPr>
        <w:t>”</w:t>
      </w:r>
      <w:r w:rsidRPr="007A2C81">
        <w:rPr>
          <w:bCs/>
          <w:szCs w:val="24"/>
        </w:rPr>
        <w:t xml:space="preserve">. </w:t>
      </w:r>
      <w:r w:rsidRPr="00857808">
        <w:rPr>
          <w:bCs/>
          <w:i/>
          <w:iCs/>
          <w:szCs w:val="24"/>
        </w:rPr>
        <w:t>Biology and Philosophy</w:t>
      </w:r>
      <w:r w:rsidRPr="007A2C81">
        <w:rPr>
          <w:bCs/>
          <w:iCs/>
          <w:szCs w:val="24"/>
        </w:rPr>
        <w:t xml:space="preserve"> </w:t>
      </w:r>
      <w:r w:rsidRPr="007A2C81">
        <w:rPr>
          <w:bCs/>
          <w:szCs w:val="24"/>
        </w:rPr>
        <w:t>16:</w:t>
      </w:r>
      <w:r w:rsidR="00857808">
        <w:rPr>
          <w:bCs/>
          <w:szCs w:val="24"/>
        </w:rPr>
        <w:t xml:space="preserve"> </w:t>
      </w:r>
      <w:r w:rsidRPr="007A2C81">
        <w:rPr>
          <w:bCs/>
          <w:szCs w:val="24"/>
        </w:rPr>
        <w:t>325–338</w:t>
      </w:r>
      <w:r w:rsidR="00857808">
        <w:rPr>
          <w:bCs/>
          <w:szCs w:val="24"/>
        </w:rPr>
        <w:t>.</w:t>
      </w:r>
    </w:p>
    <w:p w:rsidR="002D444B" w:rsidRPr="007A2C81" w:rsidRDefault="002D444B" w:rsidP="00B5061E">
      <w:pPr>
        <w:tabs>
          <w:tab w:val="left" w:pos="-720"/>
        </w:tabs>
        <w:spacing w:line="240" w:lineRule="atLeast"/>
        <w:ind w:left="720" w:hanging="720"/>
        <w:rPr>
          <w:spacing w:val="-3"/>
          <w:szCs w:val="24"/>
        </w:rPr>
      </w:pPr>
      <w:r w:rsidRPr="007A2C81">
        <w:rPr>
          <w:bCs/>
          <w:szCs w:val="24"/>
        </w:rPr>
        <w:t xml:space="preserve">Lewis, David. 1984. “Putnam’s Paradox”. </w:t>
      </w:r>
      <w:r w:rsidRPr="00857808">
        <w:rPr>
          <w:bCs/>
          <w:i/>
          <w:szCs w:val="24"/>
        </w:rPr>
        <w:t>Australasian Journal of Philosophy</w:t>
      </w:r>
      <w:r w:rsidRPr="007A2C81">
        <w:rPr>
          <w:bCs/>
          <w:szCs w:val="24"/>
        </w:rPr>
        <w:t xml:space="preserve"> 62: 221-36.</w:t>
      </w:r>
    </w:p>
    <w:p w:rsidR="00B5061E" w:rsidRDefault="00B5061E" w:rsidP="00B5061E">
      <w:pPr>
        <w:tabs>
          <w:tab w:val="left" w:pos="-720"/>
        </w:tabs>
        <w:spacing w:line="240" w:lineRule="atLeast"/>
        <w:ind w:left="720" w:hanging="720"/>
        <w:rPr>
          <w:spacing w:val="-3"/>
          <w:szCs w:val="24"/>
        </w:rPr>
      </w:pPr>
      <w:proofErr w:type="spellStart"/>
      <w:r w:rsidRPr="007A2C81">
        <w:rPr>
          <w:spacing w:val="-3"/>
          <w:szCs w:val="24"/>
        </w:rPr>
        <w:t>Loar</w:t>
      </w:r>
      <w:proofErr w:type="spellEnd"/>
      <w:r w:rsidRPr="007A2C81">
        <w:rPr>
          <w:spacing w:val="-3"/>
          <w:szCs w:val="24"/>
        </w:rPr>
        <w:t xml:space="preserve">, Brian. 1976. “The Semantics of Singular Terms”. </w:t>
      </w:r>
      <w:r w:rsidRPr="007A2C81">
        <w:rPr>
          <w:i/>
          <w:spacing w:val="-3"/>
          <w:szCs w:val="24"/>
        </w:rPr>
        <w:t>Philosophical Studies</w:t>
      </w:r>
      <w:r w:rsidRPr="007A2C81">
        <w:rPr>
          <w:spacing w:val="-3"/>
          <w:szCs w:val="24"/>
        </w:rPr>
        <w:t xml:space="preserve"> 30: 353-77.</w:t>
      </w:r>
    </w:p>
    <w:p w:rsidR="006B3D84" w:rsidRPr="007A2C81" w:rsidRDefault="00857808" w:rsidP="006B3D84">
      <w:pPr>
        <w:tabs>
          <w:tab w:val="left" w:pos="-720"/>
        </w:tabs>
        <w:spacing w:line="240" w:lineRule="atLeast"/>
        <w:ind w:left="720" w:hanging="720"/>
        <w:rPr>
          <w:spacing w:val="-3"/>
          <w:szCs w:val="24"/>
        </w:rPr>
      </w:pPr>
      <w:r>
        <w:rPr>
          <w:spacing w:val="-3"/>
          <w:szCs w:val="24"/>
        </w:rPr>
        <w:t>Ludwig, K. 2007</w:t>
      </w:r>
      <w:r w:rsidR="006B3D84" w:rsidRPr="006B3D84">
        <w:rPr>
          <w:spacing w:val="-3"/>
          <w:szCs w:val="24"/>
        </w:rPr>
        <w:t xml:space="preserve">. </w:t>
      </w:r>
      <w:r>
        <w:rPr>
          <w:spacing w:val="-3"/>
          <w:szCs w:val="24"/>
        </w:rPr>
        <w:t>“The E</w:t>
      </w:r>
      <w:r w:rsidR="006B3D84" w:rsidRPr="006B3D84">
        <w:rPr>
          <w:spacing w:val="-3"/>
          <w:szCs w:val="24"/>
        </w:rPr>
        <w:t>pistem</w:t>
      </w:r>
      <w:r>
        <w:rPr>
          <w:spacing w:val="-3"/>
          <w:szCs w:val="24"/>
        </w:rPr>
        <w:t>ology of Thought Experiments: First-Person Approach vs. T</w:t>
      </w:r>
      <w:r w:rsidR="006B3D84" w:rsidRPr="006B3D84">
        <w:rPr>
          <w:spacing w:val="-3"/>
          <w:szCs w:val="24"/>
        </w:rPr>
        <w:t>hird</w:t>
      </w:r>
      <w:r w:rsidR="006B3D84">
        <w:rPr>
          <w:spacing w:val="-3"/>
          <w:szCs w:val="24"/>
        </w:rPr>
        <w:t>-</w:t>
      </w:r>
      <w:r>
        <w:rPr>
          <w:spacing w:val="-3"/>
          <w:szCs w:val="24"/>
        </w:rPr>
        <w:t>P</w:t>
      </w:r>
      <w:r w:rsidR="006B3D84" w:rsidRPr="006B3D84">
        <w:rPr>
          <w:spacing w:val="-3"/>
          <w:szCs w:val="24"/>
        </w:rPr>
        <w:t xml:space="preserve">erson </w:t>
      </w:r>
      <w:r>
        <w:rPr>
          <w:spacing w:val="-3"/>
          <w:szCs w:val="24"/>
        </w:rPr>
        <w:t>A</w:t>
      </w:r>
      <w:r w:rsidR="006B3D84" w:rsidRPr="006B3D84">
        <w:rPr>
          <w:spacing w:val="-3"/>
          <w:szCs w:val="24"/>
        </w:rPr>
        <w:t>pproach</w:t>
      </w:r>
      <w:r>
        <w:rPr>
          <w:spacing w:val="-3"/>
          <w:szCs w:val="24"/>
        </w:rPr>
        <w:t>”</w:t>
      </w:r>
      <w:r w:rsidR="006B3D84" w:rsidRPr="006B3D84">
        <w:rPr>
          <w:spacing w:val="-3"/>
          <w:szCs w:val="24"/>
        </w:rPr>
        <w:t>.</w:t>
      </w:r>
      <w:r w:rsidR="006B3D84">
        <w:rPr>
          <w:spacing w:val="-3"/>
          <w:szCs w:val="24"/>
        </w:rPr>
        <w:t xml:space="preserve"> </w:t>
      </w:r>
      <w:r w:rsidR="003B6E17">
        <w:rPr>
          <w:spacing w:val="-3"/>
          <w:szCs w:val="24"/>
        </w:rPr>
        <w:t xml:space="preserve">In </w:t>
      </w:r>
      <w:r w:rsidR="003B6E17" w:rsidRPr="003B6E17">
        <w:rPr>
          <w:i/>
          <w:spacing w:val="-3"/>
          <w:szCs w:val="24"/>
        </w:rPr>
        <w:t>Midwest Studies in Philosophy</w:t>
      </w:r>
      <w:r w:rsidR="003B6E17">
        <w:rPr>
          <w:spacing w:val="-3"/>
          <w:szCs w:val="24"/>
        </w:rPr>
        <w:t xml:space="preserve"> 31:</w:t>
      </w:r>
      <w:r w:rsidR="006B3D84" w:rsidRPr="006B3D84">
        <w:rPr>
          <w:spacing w:val="-3"/>
          <w:szCs w:val="24"/>
        </w:rPr>
        <w:t xml:space="preserve"> 128–159.</w:t>
      </w:r>
      <w:r w:rsidR="006B3D84">
        <w:rPr>
          <w:spacing w:val="-3"/>
          <w:szCs w:val="24"/>
        </w:rPr>
        <w:t xml:space="preserve"> </w:t>
      </w:r>
      <w:r w:rsidR="006B3D84" w:rsidRPr="006B3D84">
        <w:rPr>
          <w:spacing w:val="-3"/>
          <w:szCs w:val="24"/>
        </w:rPr>
        <w:t>https://doi.org/10.1111/j.1475-4975.2007.00160.x.</w:t>
      </w:r>
    </w:p>
    <w:p w:rsidR="00B5061E" w:rsidRPr="007A2C81" w:rsidRDefault="00B5061E" w:rsidP="00B5061E">
      <w:pPr>
        <w:tabs>
          <w:tab w:val="left" w:pos="-720"/>
        </w:tabs>
        <w:spacing w:line="240" w:lineRule="atLeast"/>
        <w:ind w:left="720" w:hanging="720"/>
        <w:rPr>
          <w:spacing w:val="-3"/>
          <w:szCs w:val="24"/>
        </w:rPr>
      </w:pPr>
      <w:r w:rsidRPr="007A2C81">
        <w:rPr>
          <w:spacing w:val="-3"/>
          <w:szCs w:val="24"/>
        </w:rPr>
        <w:t xml:space="preserve">Lycan, William G. 1985. “The Paradox of Naming”. In </w:t>
      </w:r>
      <w:r w:rsidR="003B6E17">
        <w:rPr>
          <w:spacing w:val="-3"/>
          <w:szCs w:val="24"/>
        </w:rPr>
        <w:t xml:space="preserve">B. K. </w:t>
      </w:r>
      <w:proofErr w:type="spellStart"/>
      <w:r w:rsidR="003B6E17">
        <w:rPr>
          <w:spacing w:val="-3"/>
          <w:szCs w:val="24"/>
        </w:rPr>
        <w:t>Matilal</w:t>
      </w:r>
      <w:proofErr w:type="spellEnd"/>
      <w:r w:rsidR="003B6E17">
        <w:rPr>
          <w:spacing w:val="-3"/>
          <w:szCs w:val="24"/>
        </w:rPr>
        <w:t xml:space="preserve"> and J. L. Shaw</w:t>
      </w:r>
      <w:r w:rsidR="003B6E17" w:rsidRPr="007A2C81">
        <w:rPr>
          <w:spacing w:val="-3"/>
          <w:szCs w:val="24"/>
        </w:rPr>
        <w:t xml:space="preserve"> </w:t>
      </w:r>
      <w:r w:rsidR="003B6E17">
        <w:rPr>
          <w:spacing w:val="-3"/>
          <w:szCs w:val="24"/>
        </w:rPr>
        <w:t>(</w:t>
      </w:r>
      <w:r w:rsidR="003B6E17" w:rsidRPr="007A2C81">
        <w:rPr>
          <w:spacing w:val="-3"/>
          <w:szCs w:val="24"/>
        </w:rPr>
        <w:t>eds.</w:t>
      </w:r>
      <w:r w:rsidR="003B6E17">
        <w:rPr>
          <w:spacing w:val="-3"/>
          <w:szCs w:val="24"/>
        </w:rPr>
        <w:t xml:space="preserve">), </w:t>
      </w:r>
      <w:r w:rsidRPr="007A2C81">
        <w:rPr>
          <w:i/>
          <w:spacing w:val="-3"/>
          <w:szCs w:val="24"/>
        </w:rPr>
        <w:t>Analytical Philosophy in Comparative Perspective</w:t>
      </w:r>
      <w:r w:rsidR="003B6E17">
        <w:rPr>
          <w:spacing w:val="-3"/>
          <w:szCs w:val="24"/>
        </w:rPr>
        <w:t>.</w:t>
      </w:r>
      <w:r w:rsidRPr="007A2C81">
        <w:rPr>
          <w:spacing w:val="-3"/>
          <w:szCs w:val="24"/>
        </w:rPr>
        <w:t xml:space="preserve"> Dordrecht: D. </w:t>
      </w:r>
      <w:proofErr w:type="spellStart"/>
      <w:r w:rsidRPr="007A2C81">
        <w:rPr>
          <w:spacing w:val="-3"/>
          <w:szCs w:val="24"/>
        </w:rPr>
        <w:t>Reidel</w:t>
      </w:r>
      <w:proofErr w:type="spellEnd"/>
      <w:r w:rsidRPr="007A2C81">
        <w:rPr>
          <w:spacing w:val="-3"/>
          <w:szCs w:val="24"/>
        </w:rPr>
        <w:t>: 81</w:t>
      </w:r>
      <w:r w:rsidRPr="007A2C81">
        <w:rPr>
          <w:spacing w:val="-3"/>
          <w:szCs w:val="24"/>
        </w:rPr>
        <w:noBreakHyphen/>
        <w:t>102.</w:t>
      </w:r>
    </w:p>
    <w:p w:rsidR="00B5061E" w:rsidRPr="007A2C81" w:rsidRDefault="00B5061E" w:rsidP="00B5061E">
      <w:pPr>
        <w:pStyle w:val="FootnoteText"/>
        <w:ind w:left="720" w:hanging="720"/>
        <w:rPr>
          <w:sz w:val="24"/>
          <w:szCs w:val="24"/>
        </w:rPr>
      </w:pPr>
      <w:r w:rsidRPr="007A2C81">
        <w:rPr>
          <w:sz w:val="24"/>
          <w:szCs w:val="24"/>
        </w:rPr>
        <w:t>Macbeth, Danielle</w:t>
      </w:r>
      <w:r w:rsidR="003B6E17">
        <w:rPr>
          <w:sz w:val="24"/>
          <w:szCs w:val="24"/>
        </w:rPr>
        <w:t>. 1995. “</w:t>
      </w:r>
      <w:r w:rsidRPr="007A2C81">
        <w:rPr>
          <w:sz w:val="24"/>
          <w:szCs w:val="24"/>
        </w:rPr>
        <w:t>Names, Natural Ki</w:t>
      </w:r>
      <w:r w:rsidR="003B6E17">
        <w:rPr>
          <w:sz w:val="24"/>
          <w:szCs w:val="24"/>
        </w:rPr>
        <w:t>nd Terms, and Rigid Designation”</w:t>
      </w:r>
      <w:r w:rsidRPr="007A2C81">
        <w:rPr>
          <w:sz w:val="24"/>
          <w:szCs w:val="24"/>
        </w:rPr>
        <w:t xml:space="preserve">, </w:t>
      </w:r>
      <w:r w:rsidRPr="007A2C81">
        <w:rPr>
          <w:i/>
          <w:sz w:val="24"/>
          <w:szCs w:val="24"/>
        </w:rPr>
        <w:t>Philosophical Studies</w:t>
      </w:r>
      <w:r w:rsidR="003B6E17">
        <w:rPr>
          <w:sz w:val="24"/>
          <w:szCs w:val="24"/>
        </w:rPr>
        <w:t xml:space="preserve"> 79:</w:t>
      </w:r>
      <w:r w:rsidRPr="007A2C81">
        <w:rPr>
          <w:sz w:val="24"/>
          <w:szCs w:val="24"/>
        </w:rPr>
        <w:t xml:space="preserve"> 259-281.</w:t>
      </w:r>
    </w:p>
    <w:p w:rsidR="00B5061E" w:rsidRPr="007A2C81" w:rsidRDefault="003B6E17" w:rsidP="00B5061E">
      <w:pPr>
        <w:tabs>
          <w:tab w:val="left" w:pos="-720"/>
        </w:tabs>
        <w:spacing w:line="240" w:lineRule="atLeast"/>
        <w:ind w:left="720" w:hanging="720"/>
        <w:rPr>
          <w:szCs w:val="24"/>
        </w:rPr>
      </w:pPr>
      <w:proofErr w:type="spellStart"/>
      <w:r>
        <w:rPr>
          <w:szCs w:val="24"/>
        </w:rPr>
        <w:t>McGinn</w:t>
      </w:r>
      <w:proofErr w:type="spellEnd"/>
      <w:r>
        <w:rPr>
          <w:szCs w:val="24"/>
        </w:rPr>
        <w:t>, Colin. 1976.</w:t>
      </w:r>
      <w:r w:rsidR="00B5061E" w:rsidRPr="007A2C81">
        <w:rPr>
          <w:szCs w:val="24"/>
        </w:rPr>
        <w:t xml:space="preserve"> </w:t>
      </w:r>
      <w:r>
        <w:rPr>
          <w:szCs w:val="24"/>
        </w:rPr>
        <w:t xml:space="preserve">“On the </w:t>
      </w:r>
      <w:r w:rsidR="00077297">
        <w:rPr>
          <w:szCs w:val="24"/>
        </w:rPr>
        <w:t>Necessity of O</w:t>
      </w:r>
      <w:r w:rsidR="00B5061E" w:rsidRPr="007A2C81">
        <w:rPr>
          <w:szCs w:val="24"/>
        </w:rPr>
        <w:t>rigin</w:t>
      </w:r>
      <w:r w:rsidR="00077297">
        <w:rPr>
          <w:szCs w:val="24"/>
        </w:rPr>
        <w:t>”</w:t>
      </w:r>
      <w:r w:rsidR="00B5061E" w:rsidRPr="007A2C81">
        <w:rPr>
          <w:szCs w:val="24"/>
        </w:rPr>
        <w:t xml:space="preserve">. </w:t>
      </w:r>
      <w:r w:rsidR="00B5061E" w:rsidRPr="00077297">
        <w:rPr>
          <w:i/>
          <w:szCs w:val="24"/>
        </w:rPr>
        <w:t>Journal of Philosophy</w:t>
      </w:r>
      <w:r w:rsidR="00B5061E" w:rsidRPr="007A2C81">
        <w:rPr>
          <w:szCs w:val="24"/>
        </w:rPr>
        <w:t xml:space="preserve"> 73:127-135</w:t>
      </w:r>
      <w:r w:rsidR="00077297">
        <w:rPr>
          <w:szCs w:val="24"/>
        </w:rPr>
        <w:t>.</w:t>
      </w:r>
    </w:p>
    <w:p w:rsidR="00B5061E" w:rsidRPr="007A2C81" w:rsidRDefault="00B5061E" w:rsidP="00B5061E">
      <w:pPr>
        <w:tabs>
          <w:tab w:val="left" w:pos="-720"/>
        </w:tabs>
        <w:spacing w:line="240" w:lineRule="atLeast"/>
        <w:ind w:left="720" w:hanging="720"/>
        <w:rPr>
          <w:szCs w:val="24"/>
        </w:rPr>
      </w:pPr>
      <w:r w:rsidRPr="007A2C81">
        <w:rPr>
          <w:szCs w:val="24"/>
        </w:rPr>
        <w:t>___. 1982. “The Structure of Content”. In</w:t>
      </w:r>
      <w:r w:rsidR="00077297" w:rsidRPr="00077297">
        <w:rPr>
          <w:szCs w:val="24"/>
        </w:rPr>
        <w:t xml:space="preserve"> </w:t>
      </w:r>
      <w:r w:rsidR="00077297">
        <w:rPr>
          <w:szCs w:val="24"/>
        </w:rPr>
        <w:t>Andrew Woodfield</w:t>
      </w:r>
      <w:r w:rsidR="00077297" w:rsidRPr="007A2C81">
        <w:rPr>
          <w:szCs w:val="24"/>
        </w:rPr>
        <w:t xml:space="preserve"> </w:t>
      </w:r>
      <w:r w:rsidR="00077297">
        <w:rPr>
          <w:szCs w:val="24"/>
        </w:rPr>
        <w:t>(</w:t>
      </w:r>
      <w:r w:rsidR="00077297" w:rsidRPr="007A2C81">
        <w:rPr>
          <w:szCs w:val="24"/>
        </w:rPr>
        <w:t>ed.</w:t>
      </w:r>
      <w:r w:rsidR="00077297">
        <w:rPr>
          <w:szCs w:val="24"/>
        </w:rPr>
        <w:t>),</w:t>
      </w:r>
      <w:r w:rsidRPr="007A2C81">
        <w:rPr>
          <w:szCs w:val="24"/>
        </w:rPr>
        <w:t xml:space="preserve"> </w:t>
      </w:r>
      <w:r w:rsidRPr="007A2C81">
        <w:rPr>
          <w:i/>
          <w:szCs w:val="24"/>
        </w:rPr>
        <w:t>Thought and Object</w:t>
      </w:r>
      <w:r w:rsidRPr="007A2C81">
        <w:rPr>
          <w:szCs w:val="24"/>
        </w:rPr>
        <w:t>, Oxford: Clarendon Press: 207</w:t>
      </w:r>
      <w:r w:rsidRPr="007A2C81">
        <w:rPr>
          <w:szCs w:val="24"/>
        </w:rPr>
        <w:noBreakHyphen/>
        <w:t>58.</w:t>
      </w:r>
    </w:p>
    <w:p w:rsidR="00B5061E" w:rsidRPr="007A2C81" w:rsidRDefault="00B5061E" w:rsidP="00B5061E">
      <w:pPr>
        <w:tabs>
          <w:tab w:val="left" w:pos="-720"/>
        </w:tabs>
        <w:spacing w:line="240" w:lineRule="atLeast"/>
        <w:ind w:left="720" w:hanging="720"/>
        <w:rPr>
          <w:spacing w:val="-3"/>
          <w:szCs w:val="24"/>
        </w:rPr>
      </w:pPr>
      <w:r w:rsidRPr="007A2C81">
        <w:rPr>
          <w:spacing w:val="-3"/>
          <w:szCs w:val="24"/>
        </w:rPr>
        <w:t xml:space="preserve">McKay, Tom. 1981. “On Proper Names in Belief Ascriptions”. </w:t>
      </w:r>
      <w:r w:rsidRPr="007A2C81">
        <w:rPr>
          <w:bCs/>
          <w:i/>
          <w:spacing w:val="-3"/>
          <w:szCs w:val="24"/>
        </w:rPr>
        <w:t>Philosophical Studies</w:t>
      </w:r>
      <w:r w:rsidRPr="007A2C81">
        <w:rPr>
          <w:bCs/>
          <w:spacing w:val="-3"/>
          <w:szCs w:val="24"/>
        </w:rPr>
        <w:t xml:space="preserve"> 39: 287-303.</w:t>
      </w:r>
    </w:p>
    <w:p w:rsidR="00B5061E" w:rsidRPr="007A2C81" w:rsidRDefault="00077297" w:rsidP="00B5061E">
      <w:pPr>
        <w:ind w:left="720" w:hanging="720"/>
        <w:rPr>
          <w:spacing w:val="-3"/>
          <w:szCs w:val="24"/>
          <w:lang w:bidi="en-US"/>
        </w:rPr>
      </w:pPr>
      <w:r>
        <w:rPr>
          <w:spacing w:val="-3"/>
          <w:szCs w:val="24"/>
          <w:lang w:bidi="en-US"/>
        </w:rPr>
        <w:t xml:space="preserve">Machery, E. </w:t>
      </w:r>
      <w:r w:rsidR="00B5061E" w:rsidRPr="007A2C81">
        <w:rPr>
          <w:spacing w:val="-3"/>
          <w:szCs w:val="24"/>
          <w:lang w:bidi="en-US"/>
        </w:rPr>
        <w:t xml:space="preserve">2012a. </w:t>
      </w:r>
      <w:r>
        <w:rPr>
          <w:spacing w:val="-3"/>
          <w:szCs w:val="24"/>
          <w:lang w:bidi="en-US"/>
        </w:rPr>
        <w:t>“Expertise and Intuitions about R</w:t>
      </w:r>
      <w:r w:rsidR="00B5061E" w:rsidRPr="007A2C81">
        <w:rPr>
          <w:spacing w:val="-3"/>
          <w:szCs w:val="24"/>
          <w:lang w:bidi="en-US"/>
        </w:rPr>
        <w:t>eference</w:t>
      </w:r>
      <w:r>
        <w:rPr>
          <w:spacing w:val="-3"/>
          <w:szCs w:val="24"/>
          <w:lang w:bidi="en-US"/>
        </w:rPr>
        <w:t>”</w:t>
      </w:r>
      <w:r w:rsidR="00B5061E" w:rsidRPr="007A2C81">
        <w:rPr>
          <w:spacing w:val="-3"/>
          <w:szCs w:val="24"/>
          <w:lang w:bidi="en-US"/>
        </w:rPr>
        <w:t xml:space="preserve">. </w:t>
      </w:r>
      <w:proofErr w:type="spellStart"/>
      <w:r w:rsidR="00B5061E" w:rsidRPr="007A2C81">
        <w:rPr>
          <w:i/>
          <w:iCs/>
          <w:spacing w:val="-3"/>
          <w:szCs w:val="24"/>
          <w:lang w:bidi="en-US"/>
        </w:rPr>
        <w:t>Theoria</w:t>
      </w:r>
      <w:proofErr w:type="spellEnd"/>
      <w:r w:rsidR="00B5061E" w:rsidRPr="007A2C81">
        <w:rPr>
          <w:i/>
          <w:iCs/>
          <w:spacing w:val="-3"/>
          <w:szCs w:val="24"/>
          <w:lang w:bidi="en-US"/>
        </w:rPr>
        <w:t xml:space="preserve"> </w:t>
      </w:r>
      <w:r>
        <w:rPr>
          <w:spacing w:val="-3"/>
          <w:szCs w:val="24"/>
          <w:lang w:bidi="en-US"/>
        </w:rPr>
        <w:t>73:</w:t>
      </w:r>
      <w:r w:rsidR="00B5061E" w:rsidRPr="007A2C81">
        <w:rPr>
          <w:spacing w:val="-3"/>
          <w:szCs w:val="24"/>
          <w:lang w:bidi="en-US"/>
        </w:rPr>
        <w:t xml:space="preserve"> 37-54. </w:t>
      </w:r>
      <w:hyperlink r:id="rId11" w:history="1">
        <w:r w:rsidR="00B5061E" w:rsidRPr="007A2C81">
          <w:rPr>
            <w:rStyle w:val="Hyperlink"/>
            <w:spacing w:val="-3"/>
            <w:szCs w:val="24"/>
            <w:lang w:bidi="en-US"/>
          </w:rPr>
          <w:t>https://doi.org/theoria20122712</w:t>
        </w:r>
      </w:hyperlink>
    </w:p>
    <w:p w:rsidR="00B5061E" w:rsidRPr="007A2C81" w:rsidRDefault="00077297" w:rsidP="00B5061E">
      <w:pPr>
        <w:ind w:left="720" w:hanging="720"/>
        <w:rPr>
          <w:szCs w:val="24"/>
        </w:rPr>
      </w:pPr>
      <w:r>
        <w:rPr>
          <w:spacing w:val="-3"/>
          <w:szCs w:val="24"/>
          <w:lang w:bidi="en-US"/>
        </w:rPr>
        <w:t>___. 2012b</w:t>
      </w:r>
      <w:r w:rsidR="00B5061E" w:rsidRPr="007A2C81">
        <w:rPr>
          <w:spacing w:val="-3"/>
          <w:szCs w:val="24"/>
          <w:lang w:bidi="en-US"/>
        </w:rPr>
        <w:t xml:space="preserve">. </w:t>
      </w:r>
      <w:r>
        <w:rPr>
          <w:spacing w:val="-3"/>
          <w:szCs w:val="24"/>
          <w:lang w:bidi="en-US"/>
        </w:rPr>
        <w:t>“</w:t>
      </w:r>
      <w:r>
        <w:rPr>
          <w:szCs w:val="24"/>
        </w:rPr>
        <w:t>Semantic Epistemology: A Brief R</w:t>
      </w:r>
      <w:r w:rsidR="00B5061E" w:rsidRPr="007A2C81">
        <w:rPr>
          <w:szCs w:val="24"/>
        </w:rPr>
        <w:t>esponse to Devitt</w:t>
      </w:r>
      <w:r>
        <w:rPr>
          <w:szCs w:val="24"/>
        </w:rPr>
        <w:t>”</w:t>
      </w:r>
      <w:r w:rsidR="00B5061E" w:rsidRPr="007A2C81">
        <w:rPr>
          <w:szCs w:val="24"/>
        </w:rPr>
        <w:t xml:space="preserve">. </w:t>
      </w:r>
      <w:proofErr w:type="spellStart"/>
      <w:r w:rsidR="00B5061E" w:rsidRPr="007A2C81">
        <w:rPr>
          <w:i/>
          <w:szCs w:val="24"/>
        </w:rPr>
        <w:t>Theoria</w:t>
      </w:r>
      <w:proofErr w:type="spellEnd"/>
      <w:r w:rsidR="00B5061E" w:rsidRPr="007A2C81">
        <w:rPr>
          <w:szCs w:val="24"/>
        </w:rPr>
        <w:t xml:space="preserve"> </w:t>
      </w:r>
      <w:r>
        <w:rPr>
          <w:szCs w:val="24"/>
        </w:rPr>
        <w:t>74:</w:t>
      </w:r>
      <w:r w:rsidR="00B5061E" w:rsidRPr="007A2C81">
        <w:rPr>
          <w:szCs w:val="24"/>
        </w:rPr>
        <w:t xml:space="preserve"> 223-7. </w:t>
      </w:r>
      <w:hyperlink r:id="rId12" w:history="1">
        <w:r w:rsidR="00B5061E" w:rsidRPr="007A2C81">
          <w:rPr>
            <w:rStyle w:val="Hyperlink"/>
            <w:szCs w:val="24"/>
          </w:rPr>
          <w:t>https://doi.org/10.1387/theoria.6223</w:t>
        </w:r>
      </w:hyperlink>
    </w:p>
    <w:p w:rsidR="00B5061E" w:rsidRPr="007A2C81" w:rsidRDefault="00B5061E" w:rsidP="00B5061E">
      <w:pPr>
        <w:ind w:left="720" w:hanging="720"/>
        <w:rPr>
          <w:spacing w:val="-3"/>
          <w:szCs w:val="24"/>
          <w:lang w:bidi="en-US"/>
        </w:rPr>
      </w:pPr>
      <w:r w:rsidRPr="007A2C81">
        <w:rPr>
          <w:spacing w:val="-3"/>
          <w:szCs w:val="24"/>
          <w:lang w:bidi="en-US"/>
        </w:rPr>
        <w:t xml:space="preserve">___, </w:t>
      </w:r>
      <w:r w:rsidR="00077297">
        <w:rPr>
          <w:spacing w:val="-3"/>
          <w:szCs w:val="24"/>
          <w:lang w:bidi="en-US"/>
        </w:rPr>
        <w:t xml:space="preserve">R. </w:t>
      </w:r>
      <w:r w:rsidRPr="007A2C81">
        <w:rPr>
          <w:spacing w:val="-3"/>
          <w:szCs w:val="24"/>
          <w:lang w:bidi="en-US"/>
        </w:rPr>
        <w:t xml:space="preserve">Mallon, </w:t>
      </w:r>
      <w:r w:rsidR="00077297">
        <w:rPr>
          <w:spacing w:val="-3"/>
          <w:szCs w:val="24"/>
          <w:lang w:bidi="en-US"/>
        </w:rPr>
        <w:t>S.</w:t>
      </w:r>
      <w:r w:rsidRPr="007A2C81">
        <w:rPr>
          <w:spacing w:val="-3"/>
          <w:szCs w:val="24"/>
          <w:lang w:bidi="en-US"/>
        </w:rPr>
        <w:t xml:space="preserve"> Nichols, and </w:t>
      </w:r>
      <w:r w:rsidR="00077297">
        <w:rPr>
          <w:spacing w:val="-3"/>
          <w:szCs w:val="24"/>
          <w:lang w:bidi="en-US"/>
        </w:rPr>
        <w:t xml:space="preserve">S. P. </w:t>
      </w:r>
      <w:r w:rsidRPr="007A2C81">
        <w:rPr>
          <w:spacing w:val="-3"/>
          <w:szCs w:val="24"/>
          <w:lang w:bidi="en-US"/>
        </w:rPr>
        <w:t>Stich</w:t>
      </w:r>
      <w:r w:rsidR="00077297">
        <w:rPr>
          <w:spacing w:val="-3"/>
          <w:szCs w:val="24"/>
          <w:lang w:bidi="en-US"/>
        </w:rPr>
        <w:t>. 2004</w:t>
      </w:r>
      <w:r w:rsidRPr="007A2C81">
        <w:rPr>
          <w:spacing w:val="-3"/>
          <w:szCs w:val="24"/>
          <w:lang w:bidi="en-US"/>
        </w:rPr>
        <w:t xml:space="preserve">. </w:t>
      </w:r>
      <w:r w:rsidR="00077297">
        <w:rPr>
          <w:spacing w:val="-3"/>
          <w:szCs w:val="24"/>
          <w:lang w:bidi="en-US"/>
        </w:rPr>
        <w:t>“Semantics, Cross-Cultural S</w:t>
      </w:r>
      <w:r w:rsidRPr="007A2C81">
        <w:rPr>
          <w:spacing w:val="-3"/>
          <w:szCs w:val="24"/>
          <w:lang w:bidi="en-US"/>
        </w:rPr>
        <w:t>tyle</w:t>
      </w:r>
      <w:r w:rsidR="00077297">
        <w:rPr>
          <w:spacing w:val="-3"/>
          <w:szCs w:val="24"/>
          <w:lang w:bidi="en-US"/>
        </w:rPr>
        <w:t>”</w:t>
      </w:r>
      <w:r w:rsidRPr="007A2C81">
        <w:rPr>
          <w:spacing w:val="-3"/>
          <w:szCs w:val="24"/>
          <w:lang w:bidi="en-US"/>
        </w:rPr>
        <w:t xml:space="preserve">. </w:t>
      </w:r>
      <w:r w:rsidRPr="007A2C81">
        <w:rPr>
          <w:i/>
          <w:spacing w:val="-3"/>
          <w:szCs w:val="24"/>
          <w:lang w:bidi="en-US"/>
        </w:rPr>
        <w:t>Cognition</w:t>
      </w:r>
      <w:r w:rsidRPr="007A2C81">
        <w:rPr>
          <w:spacing w:val="-3"/>
          <w:szCs w:val="24"/>
          <w:lang w:bidi="en-US"/>
        </w:rPr>
        <w:t xml:space="preserve">, 92(3), 1-12. </w:t>
      </w:r>
      <w:hyperlink r:id="rId13" w:history="1">
        <w:r w:rsidRPr="007A2C81">
          <w:rPr>
            <w:rStyle w:val="Hyperlink"/>
            <w:spacing w:val="-3"/>
            <w:szCs w:val="24"/>
            <w:lang w:bidi="en-US"/>
          </w:rPr>
          <w:t>https://doi.org/10.1016/j.cognition.2003.10.003</w:t>
        </w:r>
      </w:hyperlink>
    </w:p>
    <w:p w:rsidR="00B5061E" w:rsidRPr="007A2C81" w:rsidRDefault="00077297" w:rsidP="00B5061E">
      <w:pPr>
        <w:ind w:left="720" w:hanging="720"/>
        <w:rPr>
          <w:spacing w:val="-3"/>
          <w:szCs w:val="24"/>
        </w:rPr>
      </w:pPr>
      <w:r>
        <w:rPr>
          <w:spacing w:val="-3"/>
          <w:szCs w:val="24"/>
        </w:rPr>
        <w:t>___, ___, ___, and___. 2013. “If Folk Intuitions Vary, Then W</w:t>
      </w:r>
      <w:r w:rsidR="00B5061E" w:rsidRPr="007A2C81">
        <w:rPr>
          <w:spacing w:val="-3"/>
          <w:szCs w:val="24"/>
        </w:rPr>
        <w:t>hat?</w:t>
      </w:r>
      <w:r>
        <w:rPr>
          <w:spacing w:val="-3"/>
          <w:szCs w:val="24"/>
        </w:rPr>
        <w:t>”</w:t>
      </w:r>
      <w:r w:rsidR="00B5061E" w:rsidRPr="007A2C81">
        <w:rPr>
          <w:spacing w:val="-3"/>
          <w:szCs w:val="24"/>
        </w:rPr>
        <w:t xml:space="preserve"> </w:t>
      </w:r>
      <w:r w:rsidR="00B5061E" w:rsidRPr="007A2C81">
        <w:rPr>
          <w:i/>
          <w:iCs/>
          <w:spacing w:val="-3"/>
          <w:szCs w:val="24"/>
        </w:rPr>
        <w:t>Philosophy and Phenomenological Research</w:t>
      </w:r>
      <w:r>
        <w:rPr>
          <w:spacing w:val="-3"/>
          <w:szCs w:val="24"/>
        </w:rPr>
        <w:t xml:space="preserve"> 86(3):</w:t>
      </w:r>
      <w:r w:rsidR="00B5061E" w:rsidRPr="007A2C81">
        <w:rPr>
          <w:spacing w:val="-3"/>
          <w:szCs w:val="24"/>
        </w:rPr>
        <w:t xml:space="preserve"> 618-35. </w:t>
      </w:r>
      <w:hyperlink r:id="rId14" w:history="1">
        <w:r w:rsidR="00B5061E" w:rsidRPr="007A2C81">
          <w:rPr>
            <w:rStyle w:val="Hyperlink"/>
            <w:spacing w:val="-3"/>
            <w:szCs w:val="24"/>
          </w:rPr>
          <w:t>https://doi.org/10.1111/j.1933-1592.2011.00555.x</w:t>
        </w:r>
      </w:hyperlink>
    </w:p>
    <w:p w:rsidR="00B5061E" w:rsidRPr="007A2C81" w:rsidRDefault="00B5061E" w:rsidP="00B5061E">
      <w:pPr>
        <w:rPr>
          <w:spacing w:val="-3"/>
          <w:szCs w:val="24"/>
          <w:lang w:bidi="en-US"/>
        </w:rPr>
      </w:pPr>
      <w:r w:rsidRPr="007A2C81">
        <w:rPr>
          <w:spacing w:val="-3"/>
          <w:szCs w:val="24"/>
          <w:lang w:bidi="en-US"/>
        </w:rPr>
        <w:t xml:space="preserve">___, </w:t>
      </w:r>
      <w:r w:rsidR="00077297">
        <w:rPr>
          <w:spacing w:val="-3"/>
          <w:szCs w:val="24"/>
          <w:lang w:bidi="en-US"/>
        </w:rPr>
        <w:t xml:space="preserve">C. Y. </w:t>
      </w:r>
      <w:proofErr w:type="spellStart"/>
      <w:r w:rsidRPr="007A2C81">
        <w:rPr>
          <w:spacing w:val="-3"/>
          <w:szCs w:val="24"/>
          <w:lang w:bidi="en-US"/>
        </w:rPr>
        <w:t>Olivola</w:t>
      </w:r>
      <w:proofErr w:type="spellEnd"/>
      <w:r w:rsidRPr="007A2C81">
        <w:rPr>
          <w:spacing w:val="-3"/>
          <w:szCs w:val="24"/>
          <w:lang w:bidi="en-US"/>
        </w:rPr>
        <w:t xml:space="preserve">, and </w:t>
      </w:r>
      <w:r w:rsidR="00077297">
        <w:rPr>
          <w:spacing w:val="-3"/>
          <w:szCs w:val="24"/>
          <w:lang w:bidi="en-US"/>
        </w:rPr>
        <w:t>M</w:t>
      </w:r>
      <w:r w:rsidR="00CF2EA2">
        <w:rPr>
          <w:spacing w:val="-3"/>
          <w:szCs w:val="24"/>
          <w:lang w:bidi="en-US"/>
        </w:rPr>
        <w:t xml:space="preserve">. </w:t>
      </w:r>
      <w:r w:rsidRPr="007A2C81">
        <w:rPr>
          <w:spacing w:val="-3"/>
          <w:szCs w:val="24"/>
          <w:lang w:bidi="en-US"/>
        </w:rPr>
        <w:t>de Blanc</w:t>
      </w:r>
      <w:r w:rsidR="00CF2EA2">
        <w:rPr>
          <w:spacing w:val="-3"/>
          <w:szCs w:val="24"/>
          <w:lang w:bidi="en-US"/>
        </w:rPr>
        <w:t>. 2009</w:t>
      </w:r>
      <w:r w:rsidRPr="007A2C81">
        <w:rPr>
          <w:spacing w:val="-3"/>
          <w:szCs w:val="24"/>
          <w:lang w:bidi="en-US"/>
        </w:rPr>
        <w:t xml:space="preserve">. </w:t>
      </w:r>
      <w:r w:rsidR="00CF2EA2">
        <w:rPr>
          <w:spacing w:val="-3"/>
          <w:szCs w:val="24"/>
          <w:lang w:bidi="en-US"/>
        </w:rPr>
        <w:t>“</w:t>
      </w:r>
      <w:r w:rsidRPr="007A2C81">
        <w:rPr>
          <w:spacing w:val="-3"/>
          <w:szCs w:val="24"/>
          <w:lang w:bidi="en-US"/>
        </w:rPr>
        <w:t xml:space="preserve">Linguistic and </w:t>
      </w:r>
      <w:r w:rsidR="00CF2EA2">
        <w:rPr>
          <w:spacing w:val="-3"/>
          <w:szCs w:val="24"/>
          <w:lang w:bidi="en-US"/>
        </w:rPr>
        <w:t>Metalinguistic I</w:t>
      </w:r>
      <w:r w:rsidRPr="007A2C81">
        <w:rPr>
          <w:spacing w:val="-3"/>
          <w:szCs w:val="24"/>
          <w:lang w:bidi="en-US"/>
        </w:rPr>
        <w:t xml:space="preserve">ntuitions in the </w:t>
      </w:r>
    </w:p>
    <w:p w:rsidR="00B5061E" w:rsidRPr="007A2C81" w:rsidRDefault="00CF2EA2" w:rsidP="00B5061E">
      <w:pPr>
        <w:ind w:firstLine="720"/>
        <w:rPr>
          <w:rStyle w:val="Hyperlink"/>
          <w:rFonts w:eastAsia="Times New Roman"/>
          <w:szCs w:val="24"/>
        </w:rPr>
      </w:pPr>
      <w:r>
        <w:rPr>
          <w:spacing w:val="-3"/>
          <w:szCs w:val="24"/>
          <w:lang w:bidi="en-US"/>
        </w:rPr>
        <w:t>Philosophy of L</w:t>
      </w:r>
      <w:r w:rsidR="00B5061E" w:rsidRPr="007A2C81">
        <w:rPr>
          <w:spacing w:val="-3"/>
          <w:szCs w:val="24"/>
          <w:lang w:bidi="en-US"/>
        </w:rPr>
        <w:t>anguage</w:t>
      </w:r>
      <w:r>
        <w:rPr>
          <w:spacing w:val="-3"/>
          <w:szCs w:val="24"/>
          <w:lang w:bidi="en-US"/>
        </w:rPr>
        <w:t>”</w:t>
      </w:r>
      <w:r w:rsidR="00B5061E" w:rsidRPr="007A2C81">
        <w:rPr>
          <w:spacing w:val="-3"/>
          <w:szCs w:val="24"/>
          <w:lang w:bidi="en-US"/>
        </w:rPr>
        <w:t xml:space="preserve">. </w:t>
      </w:r>
      <w:r w:rsidR="00B5061E" w:rsidRPr="007A2C81">
        <w:rPr>
          <w:i/>
          <w:iCs/>
          <w:spacing w:val="-3"/>
          <w:szCs w:val="24"/>
          <w:lang w:bidi="en-US"/>
        </w:rPr>
        <w:t>Analysis</w:t>
      </w:r>
      <w:r>
        <w:rPr>
          <w:iCs/>
          <w:spacing w:val="-3"/>
          <w:szCs w:val="24"/>
          <w:lang w:bidi="en-US"/>
        </w:rPr>
        <w:t>, 69(4):</w:t>
      </w:r>
      <w:r w:rsidR="00B5061E" w:rsidRPr="007A2C81">
        <w:rPr>
          <w:spacing w:val="-3"/>
          <w:szCs w:val="24"/>
          <w:lang w:bidi="en-US"/>
        </w:rPr>
        <w:t xml:space="preserve"> 689-694. </w:t>
      </w:r>
      <w:hyperlink r:id="rId15" w:history="1">
        <w:r w:rsidR="00B5061E" w:rsidRPr="007A2C81">
          <w:rPr>
            <w:rStyle w:val="Hyperlink"/>
            <w:rFonts w:eastAsia="Times New Roman"/>
            <w:szCs w:val="24"/>
          </w:rPr>
          <w:t>https://doi.org/10.1093/analys/anp095</w:t>
        </w:r>
      </w:hyperlink>
    </w:p>
    <w:p w:rsidR="00B5061E" w:rsidRDefault="00B5061E" w:rsidP="00B5061E">
      <w:pPr>
        <w:ind w:left="720" w:hanging="720"/>
        <w:rPr>
          <w:spacing w:val="-3"/>
          <w:szCs w:val="24"/>
        </w:rPr>
      </w:pPr>
      <w:r w:rsidRPr="007A2C81">
        <w:rPr>
          <w:spacing w:val="-3"/>
          <w:szCs w:val="24"/>
        </w:rPr>
        <w:lastRenderedPageBreak/>
        <w:t xml:space="preserve">___ and </w:t>
      </w:r>
      <w:r w:rsidR="00CF2EA2">
        <w:rPr>
          <w:spacing w:val="-3"/>
          <w:szCs w:val="24"/>
        </w:rPr>
        <w:t>S. P. Stich, S. P. 2012. “The Role of E</w:t>
      </w:r>
      <w:r w:rsidRPr="007A2C81">
        <w:rPr>
          <w:spacing w:val="-3"/>
          <w:szCs w:val="24"/>
        </w:rPr>
        <w:t>xperiments</w:t>
      </w:r>
      <w:r w:rsidR="00CF2EA2">
        <w:rPr>
          <w:spacing w:val="-3"/>
          <w:szCs w:val="24"/>
        </w:rPr>
        <w:t>”</w:t>
      </w:r>
      <w:r w:rsidRPr="007A2C81">
        <w:rPr>
          <w:spacing w:val="-3"/>
          <w:szCs w:val="24"/>
        </w:rPr>
        <w:t xml:space="preserve">. In Gillian Russell and Delia Graff </w:t>
      </w:r>
      <w:proofErr w:type="spellStart"/>
      <w:r w:rsidRPr="007A2C81">
        <w:rPr>
          <w:spacing w:val="-3"/>
          <w:szCs w:val="24"/>
        </w:rPr>
        <w:t>Fara</w:t>
      </w:r>
      <w:proofErr w:type="spellEnd"/>
      <w:r w:rsidRPr="007A2C81">
        <w:rPr>
          <w:spacing w:val="-3"/>
          <w:szCs w:val="24"/>
        </w:rPr>
        <w:t xml:space="preserve">, </w:t>
      </w:r>
      <w:r w:rsidR="00CF2EA2">
        <w:rPr>
          <w:spacing w:val="-3"/>
          <w:szCs w:val="24"/>
        </w:rPr>
        <w:t>(</w:t>
      </w:r>
      <w:r w:rsidRPr="007A2C81">
        <w:rPr>
          <w:spacing w:val="-3"/>
          <w:szCs w:val="24"/>
        </w:rPr>
        <w:t>eds.</w:t>
      </w:r>
      <w:r w:rsidR="00CF2EA2">
        <w:rPr>
          <w:spacing w:val="-3"/>
          <w:szCs w:val="24"/>
        </w:rPr>
        <w:t>),</w:t>
      </w:r>
      <w:r w:rsidRPr="007A2C81">
        <w:rPr>
          <w:i/>
          <w:spacing w:val="-3"/>
          <w:szCs w:val="24"/>
        </w:rPr>
        <w:t xml:space="preserve"> The Routledge Companion to Philosophy of Language</w:t>
      </w:r>
      <w:r w:rsidRPr="007A2C81">
        <w:rPr>
          <w:spacing w:val="-3"/>
          <w:szCs w:val="24"/>
        </w:rPr>
        <w:t>. New York: Routledge: 495-512.</w:t>
      </w:r>
    </w:p>
    <w:p w:rsidR="0001370D" w:rsidRPr="007A2C81" w:rsidRDefault="0001370D" w:rsidP="008B10BD">
      <w:pPr>
        <w:ind w:left="720" w:hanging="720"/>
        <w:rPr>
          <w:spacing w:val="-3"/>
          <w:szCs w:val="24"/>
        </w:rPr>
      </w:pPr>
      <w:r>
        <w:rPr>
          <w:spacing w:val="-3"/>
          <w:szCs w:val="24"/>
        </w:rPr>
        <w:t>Mallozzi, Antonella. 2018.</w:t>
      </w:r>
      <w:r w:rsidR="00CF2EA2">
        <w:rPr>
          <w:spacing w:val="-3"/>
          <w:szCs w:val="24"/>
        </w:rPr>
        <w:t xml:space="preserve"> “Putting Modal Metaphysics F</w:t>
      </w:r>
      <w:r w:rsidR="008B10BD">
        <w:rPr>
          <w:spacing w:val="-3"/>
          <w:szCs w:val="24"/>
        </w:rPr>
        <w:t xml:space="preserve">irst”. </w:t>
      </w:r>
      <w:proofErr w:type="spellStart"/>
      <w:r w:rsidR="008B10BD" w:rsidRPr="00CF2EA2">
        <w:rPr>
          <w:i/>
          <w:spacing w:val="-3"/>
          <w:szCs w:val="24"/>
        </w:rPr>
        <w:t>Synthese</w:t>
      </w:r>
      <w:proofErr w:type="spellEnd"/>
      <w:r w:rsidR="008B10BD">
        <w:rPr>
          <w:spacing w:val="-3"/>
          <w:szCs w:val="24"/>
        </w:rPr>
        <w:t xml:space="preserve">. </w:t>
      </w:r>
      <w:r w:rsidR="008B10BD" w:rsidRPr="008B10BD">
        <w:rPr>
          <w:spacing w:val="-3"/>
          <w:szCs w:val="24"/>
        </w:rPr>
        <w:t>https://doi.org/10.1007/s11229-018-1828-2</w:t>
      </w:r>
    </w:p>
    <w:p w:rsidR="00B5061E" w:rsidRPr="007A2C81" w:rsidRDefault="00B5061E" w:rsidP="00B5061E">
      <w:pPr>
        <w:tabs>
          <w:tab w:val="left" w:pos="-720"/>
        </w:tabs>
        <w:spacing w:line="240" w:lineRule="atLeast"/>
        <w:ind w:left="720" w:hanging="720"/>
        <w:rPr>
          <w:rFonts w:eastAsia="Calibri"/>
          <w:spacing w:val="-3"/>
          <w:szCs w:val="24"/>
        </w:rPr>
      </w:pPr>
      <w:r w:rsidRPr="007A2C81">
        <w:rPr>
          <w:rFonts w:eastAsia="Calibri"/>
          <w:spacing w:val="-3"/>
          <w:szCs w:val="24"/>
        </w:rPr>
        <w:t xml:space="preserve">Marcus, Ruth </w:t>
      </w:r>
      <w:proofErr w:type="spellStart"/>
      <w:r w:rsidRPr="007A2C81">
        <w:rPr>
          <w:rFonts w:eastAsia="Calibri"/>
          <w:spacing w:val="-3"/>
          <w:szCs w:val="24"/>
        </w:rPr>
        <w:t>Barcan</w:t>
      </w:r>
      <w:proofErr w:type="spellEnd"/>
      <w:r w:rsidRPr="007A2C81">
        <w:rPr>
          <w:rFonts w:eastAsia="Calibri"/>
          <w:spacing w:val="-3"/>
          <w:szCs w:val="24"/>
        </w:rPr>
        <w:t xml:space="preserve">. 1961. “Modalities and </w:t>
      </w:r>
      <w:proofErr w:type="spellStart"/>
      <w:r w:rsidRPr="007A2C81">
        <w:rPr>
          <w:rFonts w:eastAsia="Calibri"/>
          <w:spacing w:val="-3"/>
          <w:szCs w:val="24"/>
        </w:rPr>
        <w:t>Intensional</w:t>
      </w:r>
      <w:proofErr w:type="spellEnd"/>
      <w:r w:rsidRPr="007A2C81">
        <w:rPr>
          <w:rFonts w:eastAsia="Calibri"/>
          <w:spacing w:val="-3"/>
          <w:szCs w:val="24"/>
        </w:rPr>
        <w:t xml:space="preserve"> Language”. </w:t>
      </w:r>
      <w:proofErr w:type="spellStart"/>
      <w:r w:rsidRPr="007A2C81">
        <w:rPr>
          <w:rFonts w:eastAsia="Calibri"/>
          <w:i/>
          <w:spacing w:val="-3"/>
          <w:szCs w:val="24"/>
        </w:rPr>
        <w:t>Synthese</w:t>
      </w:r>
      <w:proofErr w:type="spellEnd"/>
      <w:r w:rsidRPr="007A2C81">
        <w:rPr>
          <w:rFonts w:eastAsia="Calibri"/>
          <w:spacing w:val="-3"/>
          <w:szCs w:val="24"/>
        </w:rPr>
        <w:t xml:space="preserve"> 13: 303-22.</w:t>
      </w:r>
    </w:p>
    <w:p w:rsidR="00B5061E" w:rsidRPr="007A2C81" w:rsidRDefault="00CF2EA2" w:rsidP="00B5061E">
      <w:pPr>
        <w:ind w:left="720" w:hanging="720"/>
        <w:rPr>
          <w:spacing w:val="-3"/>
          <w:szCs w:val="24"/>
        </w:rPr>
      </w:pPr>
      <w:proofErr w:type="spellStart"/>
      <w:r>
        <w:rPr>
          <w:spacing w:val="-3"/>
          <w:szCs w:val="24"/>
        </w:rPr>
        <w:t>Martí</w:t>
      </w:r>
      <w:proofErr w:type="spellEnd"/>
      <w:r>
        <w:rPr>
          <w:spacing w:val="-3"/>
          <w:szCs w:val="24"/>
        </w:rPr>
        <w:t xml:space="preserve">, </w:t>
      </w:r>
      <w:proofErr w:type="spellStart"/>
      <w:r>
        <w:rPr>
          <w:spacing w:val="-3"/>
          <w:szCs w:val="24"/>
        </w:rPr>
        <w:t>Genoveva</w:t>
      </w:r>
      <w:proofErr w:type="spellEnd"/>
      <w:r>
        <w:rPr>
          <w:spacing w:val="-3"/>
          <w:szCs w:val="24"/>
        </w:rPr>
        <w:t>. 2009</w:t>
      </w:r>
      <w:r w:rsidR="00B5061E" w:rsidRPr="007A2C81">
        <w:rPr>
          <w:spacing w:val="-3"/>
          <w:szCs w:val="24"/>
        </w:rPr>
        <w:t xml:space="preserve">. </w:t>
      </w:r>
      <w:r>
        <w:rPr>
          <w:spacing w:val="-3"/>
          <w:szCs w:val="24"/>
        </w:rPr>
        <w:t>“Against Semantic Multi-C</w:t>
      </w:r>
      <w:r w:rsidR="00B5061E" w:rsidRPr="007A2C81">
        <w:rPr>
          <w:spacing w:val="-3"/>
          <w:szCs w:val="24"/>
        </w:rPr>
        <w:t>ulturalism</w:t>
      </w:r>
      <w:r>
        <w:rPr>
          <w:spacing w:val="-3"/>
          <w:szCs w:val="24"/>
        </w:rPr>
        <w:t>”</w:t>
      </w:r>
      <w:r w:rsidR="00B5061E" w:rsidRPr="007A2C81">
        <w:rPr>
          <w:spacing w:val="-3"/>
          <w:szCs w:val="24"/>
        </w:rPr>
        <w:t xml:space="preserve">. </w:t>
      </w:r>
      <w:r w:rsidR="00B5061E" w:rsidRPr="007A2C81">
        <w:rPr>
          <w:i/>
          <w:spacing w:val="-3"/>
          <w:szCs w:val="24"/>
        </w:rPr>
        <w:t>Analysis</w:t>
      </w:r>
      <w:r w:rsidR="00B5061E" w:rsidRPr="007A2C81">
        <w:rPr>
          <w:spacing w:val="-3"/>
          <w:szCs w:val="24"/>
        </w:rPr>
        <w:t xml:space="preserve"> 69(1), 42–48. </w:t>
      </w:r>
      <w:hyperlink r:id="rId16" w:history="1">
        <w:r w:rsidR="00B5061E" w:rsidRPr="007A2C81">
          <w:rPr>
            <w:rStyle w:val="Hyperlink"/>
            <w:spacing w:val="-3"/>
            <w:szCs w:val="24"/>
          </w:rPr>
          <w:t>https://doi.org/10.1093/analys/ann007</w:t>
        </w:r>
      </w:hyperlink>
    </w:p>
    <w:p w:rsidR="00B5061E" w:rsidRPr="007A2C81" w:rsidRDefault="00B5061E" w:rsidP="00B5061E">
      <w:pPr>
        <w:ind w:left="720" w:hanging="720"/>
        <w:rPr>
          <w:spacing w:val="-3"/>
          <w:szCs w:val="24"/>
        </w:rPr>
      </w:pPr>
      <w:r w:rsidRPr="007A2C81">
        <w:rPr>
          <w:spacing w:val="-3"/>
          <w:szCs w:val="24"/>
        </w:rPr>
        <w:t>___</w:t>
      </w:r>
      <w:r w:rsidR="00CF2EA2">
        <w:rPr>
          <w:spacing w:val="-3"/>
          <w:szCs w:val="24"/>
        </w:rPr>
        <w:t>. 2012</w:t>
      </w:r>
      <w:r w:rsidRPr="007A2C81">
        <w:rPr>
          <w:spacing w:val="-3"/>
          <w:szCs w:val="24"/>
        </w:rPr>
        <w:t xml:space="preserve">. </w:t>
      </w:r>
      <w:r w:rsidR="00CF2EA2">
        <w:rPr>
          <w:spacing w:val="-3"/>
          <w:szCs w:val="24"/>
        </w:rPr>
        <w:t>“Empirical Data and the Theory of R</w:t>
      </w:r>
      <w:r w:rsidRPr="007A2C81">
        <w:rPr>
          <w:spacing w:val="-3"/>
          <w:szCs w:val="24"/>
        </w:rPr>
        <w:t>eference</w:t>
      </w:r>
      <w:r w:rsidR="00CF2EA2">
        <w:rPr>
          <w:spacing w:val="-3"/>
          <w:szCs w:val="24"/>
        </w:rPr>
        <w:t>”</w:t>
      </w:r>
      <w:r w:rsidRPr="007A2C81">
        <w:rPr>
          <w:spacing w:val="-3"/>
          <w:szCs w:val="24"/>
        </w:rPr>
        <w:t xml:space="preserve">. In W. P. </w:t>
      </w:r>
      <w:proofErr w:type="spellStart"/>
      <w:r w:rsidRPr="007A2C81">
        <w:rPr>
          <w:spacing w:val="-3"/>
          <w:szCs w:val="24"/>
        </w:rPr>
        <w:t>Kabasenche</w:t>
      </w:r>
      <w:proofErr w:type="spellEnd"/>
      <w:r w:rsidRPr="007A2C81">
        <w:rPr>
          <w:spacing w:val="-3"/>
          <w:szCs w:val="24"/>
        </w:rPr>
        <w:t>, M. O’</w:t>
      </w:r>
      <w:r w:rsidR="00CF2EA2">
        <w:rPr>
          <w:spacing w:val="-3"/>
          <w:szCs w:val="24"/>
        </w:rPr>
        <w:t>Rourke, and M. H. Slater (eds.),</w:t>
      </w:r>
      <w:r w:rsidRPr="007A2C81">
        <w:rPr>
          <w:spacing w:val="-3"/>
          <w:szCs w:val="24"/>
        </w:rPr>
        <w:t xml:space="preserve"> </w:t>
      </w:r>
      <w:r w:rsidRPr="007A2C81">
        <w:rPr>
          <w:i/>
          <w:iCs/>
          <w:spacing w:val="-3"/>
          <w:szCs w:val="24"/>
        </w:rPr>
        <w:t>Reference and Referring. Topics in Contemporary Philosophy</w:t>
      </w:r>
      <w:r w:rsidR="00CF2EA2">
        <w:rPr>
          <w:iCs/>
          <w:spacing w:val="-3"/>
          <w:szCs w:val="24"/>
        </w:rPr>
        <w:t>.</w:t>
      </w:r>
      <w:r w:rsidR="00CF2EA2">
        <w:rPr>
          <w:spacing w:val="-3"/>
          <w:szCs w:val="24"/>
        </w:rPr>
        <w:t xml:space="preserve"> Cambridge, MA: MIT Press:</w:t>
      </w:r>
      <w:r w:rsidR="00CF2EA2" w:rsidRPr="007A2C81">
        <w:rPr>
          <w:i/>
          <w:iCs/>
          <w:spacing w:val="-3"/>
          <w:szCs w:val="24"/>
        </w:rPr>
        <w:t xml:space="preserve"> </w:t>
      </w:r>
      <w:r w:rsidR="00CF2EA2">
        <w:rPr>
          <w:szCs w:val="24"/>
        </w:rPr>
        <w:t>62-76</w:t>
      </w:r>
      <w:r w:rsidR="00CF2EA2" w:rsidRPr="007A2C81">
        <w:rPr>
          <w:spacing w:val="-3"/>
          <w:szCs w:val="24"/>
        </w:rPr>
        <w:t>.</w:t>
      </w:r>
    </w:p>
    <w:p w:rsidR="00B5061E" w:rsidRPr="007A2C81" w:rsidRDefault="00B5061E" w:rsidP="00B5061E">
      <w:pPr>
        <w:ind w:left="720" w:hanging="720"/>
        <w:rPr>
          <w:szCs w:val="24"/>
        </w:rPr>
      </w:pPr>
      <w:proofErr w:type="spellStart"/>
      <w:r w:rsidRPr="007A2C81">
        <w:rPr>
          <w:szCs w:val="24"/>
        </w:rPr>
        <w:t>Mayr</w:t>
      </w:r>
      <w:proofErr w:type="spellEnd"/>
      <w:r w:rsidRPr="007A2C81">
        <w:rPr>
          <w:szCs w:val="24"/>
        </w:rPr>
        <w:t xml:space="preserve">, Ernst. 1982. </w:t>
      </w:r>
      <w:r w:rsidRPr="007A2C81">
        <w:rPr>
          <w:i/>
          <w:szCs w:val="24"/>
        </w:rPr>
        <w:t>The Growth of Biological Thought</w:t>
      </w:r>
      <w:r w:rsidRPr="007A2C81">
        <w:rPr>
          <w:szCs w:val="24"/>
        </w:rPr>
        <w:t>. Cambridge, MA: Harvard University Press.</w:t>
      </w:r>
    </w:p>
    <w:p w:rsidR="00B5061E" w:rsidRPr="007A2C81" w:rsidRDefault="00B5061E" w:rsidP="00B5061E">
      <w:pPr>
        <w:ind w:left="720" w:hanging="720"/>
        <w:rPr>
          <w:rFonts w:eastAsia="Calibri"/>
          <w:spacing w:val="-3"/>
          <w:szCs w:val="24"/>
        </w:rPr>
      </w:pPr>
      <w:r w:rsidRPr="007A2C81">
        <w:rPr>
          <w:rFonts w:eastAsia="Calibri"/>
          <w:spacing w:val="-3"/>
          <w:szCs w:val="24"/>
        </w:rPr>
        <w:t xml:space="preserve">Mercier, </w:t>
      </w:r>
      <w:proofErr w:type="spellStart"/>
      <w:r w:rsidRPr="007A2C81">
        <w:rPr>
          <w:rFonts w:eastAsia="Calibri"/>
          <w:szCs w:val="24"/>
        </w:rPr>
        <w:t>Adèle</w:t>
      </w:r>
      <w:proofErr w:type="spellEnd"/>
      <w:r w:rsidRPr="007A2C81">
        <w:rPr>
          <w:rFonts w:eastAsia="Calibri"/>
          <w:spacing w:val="-3"/>
          <w:szCs w:val="24"/>
        </w:rPr>
        <w:t xml:space="preserve">. 1999. “On Communication-Based </w:t>
      </w:r>
      <w:r w:rsidRPr="00CF2EA2">
        <w:rPr>
          <w:rFonts w:eastAsia="Calibri"/>
          <w:i/>
          <w:spacing w:val="-3"/>
          <w:szCs w:val="24"/>
        </w:rPr>
        <w:t>De Re</w:t>
      </w:r>
      <w:r w:rsidRPr="007A2C81">
        <w:rPr>
          <w:rFonts w:eastAsia="Calibri"/>
          <w:spacing w:val="-3"/>
          <w:szCs w:val="24"/>
        </w:rPr>
        <w:t xml:space="preserve"> Thought, Commitments </w:t>
      </w:r>
      <w:r w:rsidRPr="00CF2EA2">
        <w:rPr>
          <w:rFonts w:eastAsia="Calibri"/>
          <w:i/>
          <w:spacing w:val="-3"/>
          <w:szCs w:val="24"/>
        </w:rPr>
        <w:t xml:space="preserve">De </w:t>
      </w:r>
      <w:proofErr w:type="spellStart"/>
      <w:r w:rsidRPr="00CF2EA2">
        <w:rPr>
          <w:rFonts w:eastAsia="Calibri"/>
          <w:i/>
          <w:spacing w:val="-3"/>
          <w:szCs w:val="24"/>
        </w:rPr>
        <w:t>Dicto</w:t>
      </w:r>
      <w:proofErr w:type="spellEnd"/>
      <w:r w:rsidRPr="007A2C81">
        <w:rPr>
          <w:rFonts w:eastAsia="Calibri"/>
          <w:spacing w:val="-3"/>
          <w:szCs w:val="24"/>
        </w:rPr>
        <w:t>, and Word-Individuation.” In</w:t>
      </w:r>
      <w:r w:rsidR="00CF2EA2" w:rsidRPr="00CF2EA2">
        <w:rPr>
          <w:rFonts w:eastAsia="Calibri"/>
          <w:spacing w:val="-3"/>
          <w:szCs w:val="24"/>
        </w:rPr>
        <w:t xml:space="preserve"> </w:t>
      </w:r>
      <w:r w:rsidR="00CF2EA2" w:rsidRPr="007A2C81">
        <w:rPr>
          <w:rFonts w:eastAsia="Calibri"/>
          <w:spacing w:val="-3"/>
          <w:szCs w:val="24"/>
        </w:rPr>
        <w:t xml:space="preserve">K. </w:t>
      </w:r>
      <w:proofErr w:type="spellStart"/>
      <w:r w:rsidR="00CF2EA2" w:rsidRPr="007A2C81">
        <w:rPr>
          <w:rFonts w:eastAsia="Calibri"/>
          <w:spacing w:val="-3"/>
          <w:szCs w:val="24"/>
        </w:rPr>
        <w:t>Murasugi</w:t>
      </w:r>
      <w:proofErr w:type="spellEnd"/>
      <w:r w:rsidR="00CF2EA2" w:rsidRPr="007A2C81">
        <w:rPr>
          <w:rFonts w:eastAsia="Calibri"/>
          <w:spacing w:val="-3"/>
          <w:szCs w:val="24"/>
        </w:rPr>
        <w:t xml:space="preserve"> and R. Stainto</w:t>
      </w:r>
      <w:r w:rsidR="00CF2EA2">
        <w:rPr>
          <w:rFonts w:eastAsia="Calibri"/>
          <w:spacing w:val="-3"/>
          <w:szCs w:val="24"/>
        </w:rPr>
        <w:t>n</w:t>
      </w:r>
      <w:r w:rsidR="00CF2EA2" w:rsidRPr="007A2C81">
        <w:rPr>
          <w:rFonts w:eastAsia="Calibri"/>
          <w:spacing w:val="-3"/>
          <w:szCs w:val="24"/>
        </w:rPr>
        <w:t xml:space="preserve"> </w:t>
      </w:r>
      <w:r w:rsidR="00CF2EA2">
        <w:rPr>
          <w:rFonts w:eastAsia="Calibri"/>
          <w:spacing w:val="-3"/>
          <w:szCs w:val="24"/>
        </w:rPr>
        <w:t>(</w:t>
      </w:r>
      <w:r w:rsidR="00CF2EA2" w:rsidRPr="007A2C81">
        <w:rPr>
          <w:rFonts w:eastAsia="Calibri"/>
          <w:spacing w:val="-3"/>
          <w:szCs w:val="24"/>
        </w:rPr>
        <w:t>eds.</w:t>
      </w:r>
      <w:r w:rsidR="00CF2EA2">
        <w:rPr>
          <w:rFonts w:eastAsia="Calibri"/>
          <w:spacing w:val="-3"/>
          <w:szCs w:val="24"/>
        </w:rPr>
        <w:t>),</w:t>
      </w:r>
      <w:r w:rsidRPr="007A2C81">
        <w:rPr>
          <w:rFonts w:eastAsia="Calibri"/>
          <w:spacing w:val="-3"/>
          <w:szCs w:val="24"/>
        </w:rPr>
        <w:t xml:space="preserve"> </w:t>
      </w:r>
      <w:r w:rsidRPr="007A2C81">
        <w:rPr>
          <w:rFonts w:eastAsia="Calibri"/>
          <w:i/>
          <w:spacing w:val="-3"/>
          <w:szCs w:val="24"/>
        </w:rPr>
        <w:t>Philosophy and Linguistics</w:t>
      </w:r>
      <w:r w:rsidRPr="007A2C81">
        <w:rPr>
          <w:rFonts w:eastAsia="Calibri"/>
          <w:spacing w:val="-3"/>
          <w:szCs w:val="24"/>
        </w:rPr>
        <w:t>, Boulder, CO: Westview Press: 85-111.</w:t>
      </w:r>
    </w:p>
    <w:p w:rsidR="00B5061E" w:rsidRPr="007A2C81" w:rsidRDefault="00B5061E" w:rsidP="00B5061E">
      <w:pPr>
        <w:pStyle w:val="FootnoteText"/>
        <w:ind w:left="720" w:hanging="720"/>
        <w:rPr>
          <w:sz w:val="24"/>
          <w:szCs w:val="24"/>
        </w:rPr>
      </w:pPr>
      <w:r w:rsidRPr="007A2C81">
        <w:rPr>
          <w:sz w:val="24"/>
          <w:szCs w:val="24"/>
        </w:rPr>
        <w:t xml:space="preserve">Mondadori, </w:t>
      </w:r>
      <w:proofErr w:type="spellStart"/>
      <w:r w:rsidRPr="007A2C81">
        <w:rPr>
          <w:sz w:val="24"/>
          <w:szCs w:val="24"/>
        </w:rPr>
        <w:t>Fabrizio</w:t>
      </w:r>
      <w:proofErr w:type="spellEnd"/>
      <w:r w:rsidR="00CF2EA2">
        <w:rPr>
          <w:sz w:val="24"/>
          <w:szCs w:val="24"/>
        </w:rPr>
        <w:t>. 1978. “Interpreting Modal Semantics”. I</w:t>
      </w:r>
      <w:r w:rsidRPr="007A2C81">
        <w:rPr>
          <w:sz w:val="24"/>
          <w:szCs w:val="24"/>
        </w:rPr>
        <w:t xml:space="preserve">n F Guenther and C. Rohrer (eds.), </w:t>
      </w:r>
      <w:r w:rsidRPr="007A2C81">
        <w:rPr>
          <w:i/>
          <w:sz w:val="24"/>
          <w:szCs w:val="24"/>
        </w:rPr>
        <w:t>Studies in Formal Semantics</w:t>
      </w:r>
      <w:r w:rsidRPr="007A2C81">
        <w:rPr>
          <w:sz w:val="24"/>
          <w:szCs w:val="24"/>
        </w:rPr>
        <w:t>, Amsterda</w:t>
      </w:r>
      <w:r w:rsidR="00CF2EA2">
        <w:rPr>
          <w:sz w:val="24"/>
          <w:szCs w:val="24"/>
        </w:rPr>
        <w:t>m: North-Holland Publishing Co.:</w:t>
      </w:r>
      <w:r w:rsidRPr="007A2C81">
        <w:rPr>
          <w:sz w:val="24"/>
          <w:szCs w:val="24"/>
        </w:rPr>
        <w:t xml:space="preserve"> 13-40.</w:t>
      </w:r>
    </w:p>
    <w:p w:rsidR="00B5061E" w:rsidRPr="007A2C81" w:rsidRDefault="00B5061E" w:rsidP="00B5061E">
      <w:pPr>
        <w:pStyle w:val="FootnoteText"/>
        <w:ind w:left="720" w:hanging="720"/>
        <w:rPr>
          <w:iCs/>
          <w:sz w:val="24"/>
          <w:szCs w:val="24"/>
        </w:rPr>
      </w:pPr>
      <w:r w:rsidRPr="007A2C81">
        <w:rPr>
          <w:sz w:val="24"/>
          <w:szCs w:val="24"/>
        </w:rPr>
        <w:t>Needham, Paul. 2011. “</w:t>
      </w:r>
      <w:proofErr w:type="spellStart"/>
      <w:r w:rsidRPr="007A2C81">
        <w:rPr>
          <w:iCs/>
          <w:sz w:val="24"/>
          <w:szCs w:val="24"/>
        </w:rPr>
        <w:t>Microessentialism</w:t>
      </w:r>
      <w:proofErr w:type="spellEnd"/>
      <w:r w:rsidRPr="007A2C81">
        <w:rPr>
          <w:iCs/>
          <w:sz w:val="24"/>
          <w:szCs w:val="24"/>
        </w:rPr>
        <w:t xml:space="preserve">: What is the Argument?” </w:t>
      </w:r>
      <w:r w:rsidRPr="007A2C81">
        <w:rPr>
          <w:i/>
          <w:iCs/>
          <w:sz w:val="24"/>
          <w:szCs w:val="24"/>
        </w:rPr>
        <w:t>Nous</w:t>
      </w:r>
      <w:r w:rsidRPr="007A2C81">
        <w:rPr>
          <w:iCs/>
          <w:sz w:val="24"/>
          <w:szCs w:val="24"/>
        </w:rPr>
        <w:t xml:space="preserve"> 45:1–21.</w:t>
      </w:r>
    </w:p>
    <w:p w:rsidR="00B5061E" w:rsidRPr="007A2C81" w:rsidRDefault="00B5061E" w:rsidP="00B5061E">
      <w:pPr>
        <w:pStyle w:val="FootnoteText"/>
        <w:ind w:left="720" w:hanging="720"/>
        <w:rPr>
          <w:sz w:val="24"/>
          <w:szCs w:val="24"/>
        </w:rPr>
      </w:pPr>
      <w:proofErr w:type="spellStart"/>
      <w:r w:rsidRPr="007A2C81">
        <w:rPr>
          <w:sz w:val="24"/>
          <w:szCs w:val="24"/>
        </w:rPr>
        <w:t>Okasha</w:t>
      </w:r>
      <w:proofErr w:type="spellEnd"/>
      <w:r w:rsidR="00CF2EA2">
        <w:rPr>
          <w:sz w:val="24"/>
          <w:szCs w:val="24"/>
        </w:rPr>
        <w:t>,</w:t>
      </w:r>
      <w:r w:rsidRPr="007A2C81">
        <w:rPr>
          <w:sz w:val="24"/>
          <w:szCs w:val="24"/>
        </w:rPr>
        <w:t xml:space="preserve"> S</w:t>
      </w:r>
      <w:r w:rsidR="00CF2EA2">
        <w:rPr>
          <w:sz w:val="24"/>
          <w:szCs w:val="24"/>
        </w:rPr>
        <w:t xml:space="preserve">. </w:t>
      </w:r>
      <w:r w:rsidRPr="007A2C81">
        <w:rPr>
          <w:sz w:val="24"/>
          <w:szCs w:val="24"/>
        </w:rPr>
        <w:t>2002</w:t>
      </w:r>
      <w:r w:rsidR="00CF2EA2">
        <w:rPr>
          <w:sz w:val="24"/>
          <w:szCs w:val="24"/>
        </w:rPr>
        <w:t>.</w:t>
      </w:r>
      <w:r w:rsidRPr="007A2C81">
        <w:rPr>
          <w:sz w:val="24"/>
          <w:szCs w:val="24"/>
        </w:rPr>
        <w:t xml:space="preserve"> </w:t>
      </w:r>
      <w:r w:rsidR="00CF2EA2">
        <w:rPr>
          <w:sz w:val="24"/>
          <w:szCs w:val="24"/>
        </w:rPr>
        <w:t>“Darwinian Metaphysics: Species and the Question of E</w:t>
      </w:r>
      <w:r w:rsidRPr="007A2C81">
        <w:rPr>
          <w:sz w:val="24"/>
          <w:szCs w:val="24"/>
        </w:rPr>
        <w:t>ssentialism</w:t>
      </w:r>
      <w:r w:rsidR="00CF2EA2">
        <w:rPr>
          <w:sz w:val="24"/>
          <w:szCs w:val="24"/>
        </w:rPr>
        <w:t>”</w:t>
      </w:r>
      <w:r w:rsidRPr="007A2C81">
        <w:rPr>
          <w:sz w:val="24"/>
          <w:szCs w:val="24"/>
        </w:rPr>
        <w:t xml:space="preserve">. </w:t>
      </w:r>
      <w:proofErr w:type="spellStart"/>
      <w:r w:rsidRPr="00CF2EA2">
        <w:rPr>
          <w:i/>
          <w:sz w:val="24"/>
          <w:szCs w:val="24"/>
        </w:rPr>
        <w:t>Synthese</w:t>
      </w:r>
      <w:proofErr w:type="spellEnd"/>
      <w:r w:rsidRPr="007A2C81">
        <w:rPr>
          <w:sz w:val="24"/>
          <w:szCs w:val="24"/>
        </w:rPr>
        <w:t xml:space="preserve"> 131:</w:t>
      </w:r>
      <w:r w:rsidR="00CF2EA2">
        <w:rPr>
          <w:sz w:val="24"/>
          <w:szCs w:val="24"/>
        </w:rPr>
        <w:t xml:space="preserve"> </w:t>
      </w:r>
      <w:r w:rsidRPr="007A2C81">
        <w:rPr>
          <w:sz w:val="24"/>
          <w:szCs w:val="24"/>
        </w:rPr>
        <w:t>191-213.</w:t>
      </w:r>
    </w:p>
    <w:p w:rsidR="00B5061E" w:rsidRPr="007A2C81" w:rsidRDefault="00B5061E" w:rsidP="00B5061E">
      <w:pPr>
        <w:tabs>
          <w:tab w:val="left" w:pos="-720"/>
          <w:tab w:val="left" w:pos="0"/>
        </w:tabs>
        <w:suppressAutoHyphens/>
        <w:ind w:left="720" w:hanging="720"/>
        <w:rPr>
          <w:spacing w:val="-3"/>
          <w:szCs w:val="24"/>
        </w:rPr>
      </w:pPr>
      <w:proofErr w:type="spellStart"/>
      <w:r w:rsidRPr="007A2C81">
        <w:rPr>
          <w:spacing w:val="-3"/>
          <w:szCs w:val="24"/>
        </w:rPr>
        <w:t>Pustejovsky</w:t>
      </w:r>
      <w:proofErr w:type="spellEnd"/>
      <w:r w:rsidRPr="007A2C81">
        <w:rPr>
          <w:spacing w:val="-3"/>
          <w:szCs w:val="24"/>
        </w:rPr>
        <w:t xml:space="preserve">, James. 1995. </w:t>
      </w:r>
      <w:r w:rsidRPr="007A2C81">
        <w:rPr>
          <w:i/>
          <w:iCs/>
          <w:spacing w:val="-3"/>
          <w:szCs w:val="24"/>
        </w:rPr>
        <w:t xml:space="preserve">The Generative Lexicon. </w:t>
      </w:r>
      <w:r w:rsidRPr="007A2C81">
        <w:rPr>
          <w:spacing w:val="-3"/>
          <w:szCs w:val="24"/>
        </w:rPr>
        <w:t>Cambridge, Mass.: MIT Press.</w:t>
      </w:r>
    </w:p>
    <w:p w:rsidR="00B5061E" w:rsidRPr="007A2C81" w:rsidRDefault="00B5061E" w:rsidP="00B5061E">
      <w:pPr>
        <w:tabs>
          <w:tab w:val="left" w:pos="-720"/>
        </w:tabs>
        <w:spacing w:line="240" w:lineRule="atLeast"/>
        <w:ind w:left="720" w:hanging="720"/>
        <w:rPr>
          <w:spacing w:val="-3"/>
          <w:szCs w:val="24"/>
        </w:rPr>
      </w:pPr>
      <w:r w:rsidRPr="007A2C81">
        <w:rPr>
          <w:rFonts w:eastAsia="Calibri"/>
          <w:spacing w:val="-3"/>
          <w:szCs w:val="24"/>
        </w:rPr>
        <w:t xml:space="preserve">Putnam, Hilary. 1973. “Meaning and Reference”. </w:t>
      </w:r>
      <w:r w:rsidRPr="007A2C81">
        <w:rPr>
          <w:rFonts w:eastAsia="Calibri"/>
          <w:i/>
          <w:spacing w:val="-3"/>
          <w:szCs w:val="24"/>
        </w:rPr>
        <w:t>Journal of Philosophy</w:t>
      </w:r>
      <w:r w:rsidRPr="007A2C81">
        <w:rPr>
          <w:rFonts w:eastAsia="Calibri"/>
          <w:spacing w:val="-3"/>
          <w:szCs w:val="24"/>
        </w:rPr>
        <w:t xml:space="preserve"> LXX: 699-711.</w:t>
      </w:r>
    </w:p>
    <w:p w:rsidR="00B5061E" w:rsidRPr="007A2C81" w:rsidRDefault="00B5061E" w:rsidP="00B5061E">
      <w:pPr>
        <w:tabs>
          <w:tab w:val="left" w:pos="-720"/>
        </w:tabs>
        <w:spacing w:line="240" w:lineRule="atLeast"/>
        <w:ind w:left="720" w:hanging="720"/>
        <w:rPr>
          <w:spacing w:val="-3"/>
          <w:szCs w:val="24"/>
        </w:rPr>
      </w:pPr>
      <w:r w:rsidRPr="007A2C81">
        <w:rPr>
          <w:spacing w:val="-3"/>
          <w:szCs w:val="24"/>
        </w:rPr>
        <w:t>___</w:t>
      </w:r>
      <w:r w:rsidRPr="007A2C81">
        <w:rPr>
          <w:rFonts w:eastAsia="Calibri"/>
          <w:spacing w:val="-3"/>
          <w:szCs w:val="24"/>
        </w:rPr>
        <w:t xml:space="preserve">. 1975. </w:t>
      </w:r>
      <w:r w:rsidRPr="007A2C81">
        <w:rPr>
          <w:rFonts w:eastAsia="Calibri"/>
          <w:i/>
          <w:spacing w:val="-3"/>
          <w:szCs w:val="24"/>
        </w:rPr>
        <w:t>Mind, Language and Reality: Philosophical Papers, Volume 2</w:t>
      </w:r>
      <w:r w:rsidRPr="007A2C81">
        <w:rPr>
          <w:rFonts w:eastAsia="Calibri"/>
          <w:spacing w:val="-3"/>
          <w:szCs w:val="24"/>
        </w:rPr>
        <w:t>. Cambridge: Cambridge University Press.</w:t>
      </w:r>
    </w:p>
    <w:p w:rsidR="00B5061E" w:rsidRPr="007A2C81" w:rsidRDefault="00B5061E" w:rsidP="00B5061E">
      <w:pPr>
        <w:tabs>
          <w:tab w:val="left" w:pos="-720"/>
        </w:tabs>
        <w:spacing w:line="240" w:lineRule="atLeast"/>
        <w:ind w:left="720" w:hanging="720"/>
        <w:rPr>
          <w:spacing w:val="-3"/>
          <w:szCs w:val="24"/>
        </w:rPr>
      </w:pPr>
      <w:r w:rsidRPr="007A2C81">
        <w:rPr>
          <w:spacing w:val="-3"/>
          <w:szCs w:val="24"/>
        </w:rPr>
        <w:t xml:space="preserve">___. 1978. </w:t>
      </w:r>
      <w:r w:rsidRPr="007A2C81">
        <w:rPr>
          <w:i/>
          <w:spacing w:val="-3"/>
          <w:szCs w:val="24"/>
        </w:rPr>
        <w:t>Meaning and the Moral Sciences</w:t>
      </w:r>
      <w:r w:rsidRPr="007A2C81">
        <w:rPr>
          <w:spacing w:val="-3"/>
          <w:szCs w:val="24"/>
        </w:rPr>
        <w:t>. London: Routledge &amp; Kegan Paul.</w:t>
      </w:r>
    </w:p>
    <w:p w:rsidR="00B5061E" w:rsidRPr="007A2C81" w:rsidRDefault="00B5061E" w:rsidP="00B5061E">
      <w:pPr>
        <w:tabs>
          <w:tab w:val="left" w:pos="-720"/>
        </w:tabs>
        <w:spacing w:line="240" w:lineRule="atLeast"/>
        <w:ind w:left="720" w:hanging="720"/>
        <w:rPr>
          <w:spacing w:val="-3"/>
          <w:szCs w:val="24"/>
        </w:rPr>
      </w:pPr>
      <w:r w:rsidRPr="007A2C81">
        <w:rPr>
          <w:spacing w:val="-3"/>
          <w:szCs w:val="24"/>
        </w:rPr>
        <w:t xml:space="preserve">___. 2001: “Reply to Devitt”. </w:t>
      </w:r>
      <w:r w:rsidRPr="007A2C81">
        <w:rPr>
          <w:i/>
          <w:spacing w:val="-3"/>
          <w:szCs w:val="24"/>
        </w:rPr>
        <w:t xml:space="preserve">Revue </w:t>
      </w:r>
      <w:proofErr w:type="spellStart"/>
      <w:r w:rsidRPr="007A2C81">
        <w:rPr>
          <w:i/>
          <w:spacing w:val="-3"/>
          <w:szCs w:val="24"/>
        </w:rPr>
        <w:t>Internationale</w:t>
      </w:r>
      <w:proofErr w:type="spellEnd"/>
      <w:r w:rsidRPr="007A2C81">
        <w:rPr>
          <w:i/>
          <w:spacing w:val="-3"/>
          <w:szCs w:val="24"/>
        </w:rPr>
        <w:t xml:space="preserve"> de </w:t>
      </w:r>
      <w:proofErr w:type="spellStart"/>
      <w:r w:rsidRPr="007A2C81">
        <w:rPr>
          <w:i/>
          <w:spacing w:val="-3"/>
          <w:szCs w:val="24"/>
        </w:rPr>
        <w:t>Philosophie</w:t>
      </w:r>
      <w:proofErr w:type="spellEnd"/>
      <w:r w:rsidRPr="007A2C81">
        <w:rPr>
          <w:spacing w:val="-3"/>
          <w:szCs w:val="24"/>
        </w:rPr>
        <w:t xml:space="preserve"> 208: 495-502.</w:t>
      </w:r>
    </w:p>
    <w:p w:rsidR="00B5061E" w:rsidRPr="007A2C81" w:rsidRDefault="00B5061E" w:rsidP="00B5061E">
      <w:pPr>
        <w:pStyle w:val="FootnoteText"/>
        <w:ind w:left="720" w:hanging="720"/>
        <w:rPr>
          <w:sz w:val="24"/>
          <w:szCs w:val="24"/>
        </w:rPr>
      </w:pPr>
      <w:r w:rsidRPr="007A2C81">
        <w:rPr>
          <w:sz w:val="24"/>
          <w:szCs w:val="24"/>
        </w:rPr>
        <w:t>Raatikainen, Panu. 2020. “Theories of Reference: What Was the Question?” In Bianchi 2020a: ##</w:t>
      </w:r>
    </w:p>
    <w:p w:rsidR="00B5061E" w:rsidRPr="007A2C81" w:rsidRDefault="00B5061E" w:rsidP="00B5061E">
      <w:pPr>
        <w:ind w:left="720" w:hanging="720"/>
        <w:rPr>
          <w:szCs w:val="24"/>
        </w:rPr>
      </w:pPr>
      <w:r w:rsidRPr="007A2C81">
        <w:rPr>
          <w:szCs w:val="24"/>
        </w:rPr>
        <w:t>Robertson T</w:t>
      </w:r>
      <w:r w:rsidR="00CF2EA2">
        <w:rPr>
          <w:szCs w:val="24"/>
        </w:rPr>
        <w:t>. 1998.</w:t>
      </w:r>
      <w:r w:rsidRPr="007A2C81">
        <w:rPr>
          <w:szCs w:val="24"/>
        </w:rPr>
        <w:t xml:space="preserve"> </w:t>
      </w:r>
      <w:r w:rsidR="00CF2EA2">
        <w:rPr>
          <w:szCs w:val="24"/>
        </w:rPr>
        <w:t>“Possibilities and the Arguments for Origin E</w:t>
      </w:r>
      <w:r w:rsidRPr="007A2C81">
        <w:rPr>
          <w:szCs w:val="24"/>
        </w:rPr>
        <w:t>ssentialism</w:t>
      </w:r>
      <w:r w:rsidR="00CF2EA2">
        <w:rPr>
          <w:szCs w:val="24"/>
        </w:rPr>
        <w:t>”</w:t>
      </w:r>
      <w:r w:rsidRPr="007A2C81">
        <w:rPr>
          <w:szCs w:val="24"/>
        </w:rPr>
        <w:t xml:space="preserve">. </w:t>
      </w:r>
      <w:r w:rsidRPr="00CF2EA2">
        <w:rPr>
          <w:i/>
          <w:szCs w:val="24"/>
        </w:rPr>
        <w:t>Mind</w:t>
      </w:r>
      <w:r w:rsidRPr="007A2C81">
        <w:rPr>
          <w:szCs w:val="24"/>
        </w:rPr>
        <w:t xml:space="preserve"> 107:</w:t>
      </w:r>
      <w:r w:rsidR="00CF2EA2">
        <w:rPr>
          <w:szCs w:val="24"/>
        </w:rPr>
        <w:t xml:space="preserve"> </w:t>
      </w:r>
      <w:r w:rsidRPr="007A2C81">
        <w:rPr>
          <w:szCs w:val="24"/>
        </w:rPr>
        <w:t>729-49</w:t>
      </w:r>
      <w:r w:rsidR="00CF2EA2">
        <w:rPr>
          <w:szCs w:val="24"/>
        </w:rPr>
        <w:t>.</w:t>
      </w:r>
    </w:p>
    <w:p w:rsidR="000475A6" w:rsidRDefault="00CF2EA2" w:rsidP="000475A6">
      <w:pPr>
        <w:ind w:left="720" w:hanging="720"/>
        <w:rPr>
          <w:szCs w:val="24"/>
        </w:rPr>
      </w:pPr>
      <w:r>
        <w:rPr>
          <w:szCs w:val="24"/>
        </w:rPr>
        <w:t>___. And P.</w:t>
      </w:r>
      <w:r w:rsidR="00B5061E" w:rsidRPr="007A2C81">
        <w:rPr>
          <w:szCs w:val="24"/>
        </w:rPr>
        <w:t xml:space="preserve"> Atkins</w:t>
      </w:r>
      <w:r>
        <w:rPr>
          <w:szCs w:val="24"/>
        </w:rPr>
        <w:t xml:space="preserve">. </w:t>
      </w:r>
      <w:r w:rsidR="00B5061E" w:rsidRPr="007A2C81">
        <w:rPr>
          <w:szCs w:val="24"/>
        </w:rPr>
        <w:t>2016</w:t>
      </w:r>
      <w:r>
        <w:rPr>
          <w:szCs w:val="24"/>
        </w:rPr>
        <w:t>.</w:t>
      </w:r>
      <w:r w:rsidR="00B5061E" w:rsidRPr="007A2C81">
        <w:rPr>
          <w:szCs w:val="24"/>
        </w:rPr>
        <w:t xml:space="preserve"> </w:t>
      </w:r>
      <w:r>
        <w:rPr>
          <w:szCs w:val="24"/>
        </w:rPr>
        <w:t>“Essential vs Accidental P</w:t>
      </w:r>
      <w:r w:rsidR="00B5061E" w:rsidRPr="007A2C81">
        <w:rPr>
          <w:szCs w:val="24"/>
        </w:rPr>
        <w:t>roperties</w:t>
      </w:r>
      <w:r>
        <w:rPr>
          <w:szCs w:val="24"/>
        </w:rPr>
        <w:t>”. In</w:t>
      </w:r>
      <w:r w:rsidR="00B5061E" w:rsidRPr="007A2C81">
        <w:rPr>
          <w:szCs w:val="24"/>
        </w:rPr>
        <w:t xml:space="preserve"> </w:t>
      </w:r>
      <w:r>
        <w:rPr>
          <w:szCs w:val="24"/>
        </w:rPr>
        <w:t xml:space="preserve">E. </w:t>
      </w:r>
      <w:proofErr w:type="spellStart"/>
      <w:r w:rsidR="00B5061E" w:rsidRPr="007A2C81">
        <w:rPr>
          <w:szCs w:val="24"/>
        </w:rPr>
        <w:t>Zalta</w:t>
      </w:r>
      <w:proofErr w:type="spellEnd"/>
      <w:r w:rsidR="00B5061E" w:rsidRPr="007A2C81">
        <w:rPr>
          <w:szCs w:val="24"/>
        </w:rPr>
        <w:t> (ed</w:t>
      </w:r>
      <w:r w:rsidR="006C56A6">
        <w:rPr>
          <w:szCs w:val="24"/>
        </w:rPr>
        <w:t>.</w:t>
      </w:r>
      <w:r w:rsidR="00B5061E" w:rsidRPr="007A2C81">
        <w:rPr>
          <w:szCs w:val="24"/>
        </w:rPr>
        <w:t>)</w:t>
      </w:r>
      <w:r w:rsidR="006C56A6">
        <w:rPr>
          <w:szCs w:val="24"/>
        </w:rPr>
        <w:t>,</w:t>
      </w:r>
      <w:r w:rsidR="00B5061E" w:rsidRPr="007A2C81">
        <w:rPr>
          <w:szCs w:val="24"/>
        </w:rPr>
        <w:t> </w:t>
      </w:r>
      <w:r w:rsidR="00B5061E" w:rsidRPr="006C56A6">
        <w:rPr>
          <w:i/>
          <w:iCs/>
          <w:szCs w:val="24"/>
        </w:rPr>
        <w:t>The Stanford Encyclopedia of Philosophy </w:t>
      </w:r>
      <w:r w:rsidR="00B5061E" w:rsidRPr="006C56A6">
        <w:rPr>
          <w:i/>
          <w:szCs w:val="24"/>
        </w:rPr>
        <w:t>(Summer 2016 Edition)</w:t>
      </w:r>
      <w:r w:rsidR="000475A6">
        <w:rPr>
          <w:szCs w:val="24"/>
        </w:rPr>
        <w:t xml:space="preserve"> </w:t>
      </w:r>
      <w:hyperlink r:id="rId17" w:history="1">
        <w:r w:rsidR="000475A6" w:rsidRPr="00543FEB">
          <w:rPr>
            <w:rStyle w:val="Hyperlink"/>
            <w:szCs w:val="24"/>
          </w:rPr>
          <w:t>https://platostanfordedu/archives/sum2016/entries/essential-accidental/</w:t>
        </w:r>
      </w:hyperlink>
    </w:p>
    <w:p w:rsidR="000475A6" w:rsidRPr="007A2C81" w:rsidRDefault="000475A6" w:rsidP="000475A6">
      <w:pPr>
        <w:ind w:left="720" w:hanging="720"/>
        <w:rPr>
          <w:spacing w:val="-3"/>
          <w:szCs w:val="24"/>
        </w:rPr>
      </w:pPr>
      <w:r>
        <w:rPr>
          <w:spacing w:val="-3"/>
          <w:szCs w:val="24"/>
        </w:rPr>
        <w:t>Ruse, Michael. 1987.</w:t>
      </w:r>
      <w:r w:rsidRPr="000475A6">
        <w:rPr>
          <w:spacing w:val="-3"/>
          <w:szCs w:val="24"/>
        </w:rPr>
        <w:t xml:space="preserve"> “Biological Species: Natural Kinds, Individuals, or What?”</w:t>
      </w:r>
      <w:r>
        <w:rPr>
          <w:spacing w:val="-3"/>
          <w:szCs w:val="24"/>
        </w:rPr>
        <w:t xml:space="preserve"> </w:t>
      </w:r>
      <w:r w:rsidRPr="000475A6">
        <w:rPr>
          <w:i/>
          <w:iCs/>
          <w:spacing w:val="-3"/>
          <w:szCs w:val="24"/>
        </w:rPr>
        <w:t xml:space="preserve">British Journal for the Philosophy of Science </w:t>
      </w:r>
      <w:r w:rsidRPr="000475A6">
        <w:rPr>
          <w:spacing w:val="-3"/>
          <w:szCs w:val="24"/>
        </w:rPr>
        <w:t>38: 225–242. Reprinted in</w:t>
      </w:r>
      <w:r w:rsidR="006C56A6" w:rsidRPr="006C56A6">
        <w:rPr>
          <w:spacing w:val="-3"/>
          <w:szCs w:val="24"/>
        </w:rPr>
        <w:t xml:space="preserve"> </w:t>
      </w:r>
      <w:r w:rsidR="006C56A6">
        <w:rPr>
          <w:spacing w:val="-3"/>
          <w:szCs w:val="24"/>
        </w:rPr>
        <w:t>Marc Ereshefsky (ed.),</w:t>
      </w:r>
      <w:r w:rsidRPr="000475A6">
        <w:rPr>
          <w:spacing w:val="-3"/>
          <w:szCs w:val="24"/>
        </w:rPr>
        <w:t xml:space="preserve"> </w:t>
      </w:r>
      <w:r w:rsidRPr="000475A6">
        <w:rPr>
          <w:i/>
          <w:iCs/>
          <w:spacing w:val="-3"/>
          <w:szCs w:val="24"/>
        </w:rPr>
        <w:t>The Units of</w:t>
      </w:r>
      <w:r>
        <w:rPr>
          <w:i/>
          <w:iCs/>
          <w:spacing w:val="-3"/>
          <w:szCs w:val="24"/>
        </w:rPr>
        <w:t xml:space="preserve"> </w:t>
      </w:r>
      <w:r w:rsidRPr="000475A6">
        <w:rPr>
          <w:i/>
          <w:iCs/>
          <w:spacing w:val="-3"/>
          <w:szCs w:val="24"/>
        </w:rPr>
        <w:t>Evolution: Essays on the Nature of Species</w:t>
      </w:r>
      <w:r w:rsidR="006C56A6">
        <w:rPr>
          <w:spacing w:val="-3"/>
          <w:szCs w:val="24"/>
        </w:rPr>
        <w:t>.</w:t>
      </w:r>
      <w:r w:rsidRPr="000475A6">
        <w:rPr>
          <w:spacing w:val="-3"/>
          <w:szCs w:val="24"/>
        </w:rPr>
        <w:t xml:space="preserve"> Cambridge, MA:</w:t>
      </w:r>
      <w:r>
        <w:rPr>
          <w:spacing w:val="-3"/>
          <w:szCs w:val="24"/>
        </w:rPr>
        <w:t xml:space="preserve"> </w:t>
      </w:r>
      <w:r w:rsidRPr="000475A6">
        <w:rPr>
          <w:spacing w:val="-3"/>
          <w:szCs w:val="24"/>
        </w:rPr>
        <w:t>MIT Press, 343–361.</w:t>
      </w:r>
      <w:r>
        <w:rPr>
          <w:spacing w:val="-3"/>
          <w:szCs w:val="24"/>
        </w:rPr>
        <w:t xml:space="preserve"> [Citation is to Ereshefsky 1992.]</w:t>
      </w:r>
    </w:p>
    <w:p w:rsidR="00B5061E" w:rsidRPr="007A2C81" w:rsidRDefault="00B5061E" w:rsidP="00B5061E">
      <w:pPr>
        <w:rPr>
          <w:szCs w:val="24"/>
        </w:rPr>
      </w:pPr>
      <w:r w:rsidRPr="007A2C81">
        <w:rPr>
          <w:spacing w:val="-3"/>
          <w:szCs w:val="24"/>
        </w:rPr>
        <w:t>Salmon, Nathan.</w:t>
      </w:r>
      <w:r w:rsidR="003476AE">
        <w:rPr>
          <w:szCs w:val="24"/>
        </w:rPr>
        <w:t xml:space="preserve"> </w:t>
      </w:r>
      <w:r w:rsidRPr="007A2C81">
        <w:rPr>
          <w:szCs w:val="24"/>
        </w:rPr>
        <w:t>1979</w:t>
      </w:r>
      <w:r w:rsidR="003476AE">
        <w:rPr>
          <w:szCs w:val="24"/>
        </w:rPr>
        <w:t>.</w:t>
      </w:r>
      <w:r w:rsidRPr="007A2C81">
        <w:rPr>
          <w:szCs w:val="24"/>
        </w:rPr>
        <w:t xml:space="preserve"> </w:t>
      </w:r>
      <w:r w:rsidR="003476AE">
        <w:rPr>
          <w:szCs w:val="24"/>
        </w:rPr>
        <w:t>“How not to D</w:t>
      </w:r>
      <w:r w:rsidRPr="007A2C81">
        <w:rPr>
          <w:szCs w:val="24"/>
        </w:rPr>
        <w:t>eri</w:t>
      </w:r>
      <w:r w:rsidR="003476AE">
        <w:rPr>
          <w:szCs w:val="24"/>
        </w:rPr>
        <w:t>ve E</w:t>
      </w:r>
      <w:r w:rsidRPr="007A2C81">
        <w:rPr>
          <w:szCs w:val="24"/>
        </w:rPr>
        <w:t>ssentialism</w:t>
      </w:r>
      <w:r w:rsidR="003476AE">
        <w:rPr>
          <w:szCs w:val="24"/>
        </w:rPr>
        <w:t>”</w:t>
      </w:r>
      <w:r w:rsidRPr="007A2C81">
        <w:rPr>
          <w:szCs w:val="24"/>
        </w:rPr>
        <w:t xml:space="preserve">. </w:t>
      </w:r>
      <w:r w:rsidRPr="003476AE">
        <w:rPr>
          <w:i/>
          <w:szCs w:val="24"/>
        </w:rPr>
        <w:t>Journal of Philosophy</w:t>
      </w:r>
      <w:r w:rsidRPr="007A2C81">
        <w:rPr>
          <w:szCs w:val="24"/>
        </w:rPr>
        <w:t xml:space="preserve"> 76:703-725.</w:t>
      </w:r>
    </w:p>
    <w:p w:rsidR="00B5061E" w:rsidRPr="007A2C81" w:rsidRDefault="00B5061E" w:rsidP="00B5061E">
      <w:pPr>
        <w:tabs>
          <w:tab w:val="left" w:pos="-720"/>
        </w:tabs>
        <w:spacing w:line="240" w:lineRule="atLeast"/>
        <w:ind w:left="720" w:hanging="720"/>
        <w:rPr>
          <w:spacing w:val="-3"/>
          <w:szCs w:val="24"/>
        </w:rPr>
      </w:pPr>
      <w:r w:rsidRPr="007A2C81">
        <w:rPr>
          <w:spacing w:val="-3"/>
          <w:szCs w:val="24"/>
        </w:rPr>
        <w:t xml:space="preserve"> ___. 1986. </w:t>
      </w:r>
      <w:proofErr w:type="spellStart"/>
      <w:r w:rsidRPr="007A2C81">
        <w:rPr>
          <w:i/>
          <w:spacing w:val="-3"/>
          <w:szCs w:val="24"/>
        </w:rPr>
        <w:t>Frege’s</w:t>
      </w:r>
      <w:proofErr w:type="spellEnd"/>
      <w:r w:rsidRPr="007A2C81">
        <w:rPr>
          <w:i/>
          <w:spacing w:val="-3"/>
          <w:szCs w:val="24"/>
        </w:rPr>
        <w:t xml:space="preserve"> Puzzle</w:t>
      </w:r>
      <w:r w:rsidRPr="007A2C81">
        <w:rPr>
          <w:spacing w:val="-3"/>
          <w:szCs w:val="24"/>
        </w:rPr>
        <w:t>. Cambridge, MA: MIT Press.</w:t>
      </w:r>
    </w:p>
    <w:p w:rsidR="00B5061E" w:rsidRPr="007A2C81" w:rsidRDefault="00B5061E" w:rsidP="00B5061E">
      <w:pPr>
        <w:pStyle w:val="FootnoteText"/>
        <w:ind w:left="720" w:hanging="720"/>
        <w:rPr>
          <w:sz w:val="24"/>
          <w:szCs w:val="24"/>
        </w:rPr>
      </w:pPr>
      <w:r w:rsidRPr="007A2C81">
        <w:rPr>
          <w:sz w:val="24"/>
          <w:szCs w:val="24"/>
        </w:rPr>
        <w:t>___. 2020. “Naming and Non-Necessity” In Bianchi 2020a: ##</w:t>
      </w:r>
    </w:p>
    <w:p w:rsidR="00B5061E" w:rsidRPr="007A2C81" w:rsidRDefault="00B5061E" w:rsidP="00B5061E">
      <w:pPr>
        <w:pStyle w:val="FootnoteText"/>
        <w:ind w:left="720" w:hanging="720"/>
        <w:rPr>
          <w:sz w:val="24"/>
          <w:szCs w:val="24"/>
        </w:rPr>
      </w:pPr>
      <w:r w:rsidRPr="007A2C81">
        <w:rPr>
          <w:sz w:val="24"/>
          <w:szCs w:val="24"/>
        </w:rPr>
        <w:t>Schiffer, Stephen. 1979. “Naming and Knowing”. In French</w:t>
      </w:r>
      <w:r w:rsidR="001455B6">
        <w:rPr>
          <w:rFonts w:eastAsia="Calibri"/>
          <w:szCs w:val="24"/>
        </w:rPr>
        <w:t xml:space="preserve"> et al.</w:t>
      </w:r>
      <w:r w:rsidRPr="007A2C81">
        <w:rPr>
          <w:sz w:val="24"/>
          <w:szCs w:val="24"/>
        </w:rPr>
        <w:t xml:space="preserve"> 1979: 61-74.</w:t>
      </w:r>
    </w:p>
    <w:p w:rsidR="00B5061E" w:rsidRPr="007A2C81" w:rsidRDefault="00B5061E" w:rsidP="00B5061E">
      <w:pPr>
        <w:pStyle w:val="FootnoteText"/>
        <w:ind w:left="720" w:hanging="720"/>
        <w:rPr>
          <w:sz w:val="24"/>
          <w:szCs w:val="24"/>
        </w:rPr>
      </w:pPr>
      <w:r w:rsidRPr="007A2C81">
        <w:rPr>
          <w:sz w:val="24"/>
          <w:szCs w:val="24"/>
        </w:rPr>
        <w:t>Schwartz, Steph</w:t>
      </w:r>
      <w:r w:rsidR="003476AE">
        <w:rPr>
          <w:sz w:val="24"/>
          <w:szCs w:val="24"/>
        </w:rPr>
        <w:t>en P. 1977. “Introduction”. In Stephen P. Schwartz</w:t>
      </w:r>
      <w:r w:rsidRPr="007A2C81">
        <w:rPr>
          <w:sz w:val="24"/>
          <w:szCs w:val="24"/>
        </w:rPr>
        <w:t xml:space="preserve"> (ed.) </w:t>
      </w:r>
      <w:r w:rsidRPr="007A2C81">
        <w:rPr>
          <w:i/>
          <w:sz w:val="24"/>
          <w:szCs w:val="24"/>
        </w:rPr>
        <w:t>Naming, Necessity, and Natural Kinds</w:t>
      </w:r>
      <w:r w:rsidRPr="007A2C81">
        <w:rPr>
          <w:sz w:val="24"/>
          <w:szCs w:val="24"/>
        </w:rPr>
        <w:t>. Ithaca</w:t>
      </w:r>
      <w:r w:rsidR="003476AE">
        <w:rPr>
          <w:sz w:val="24"/>
          <w:szCs w:val="24"/>
        </w:rPr>
        <w:t xml:space="preserve">: Cornell University Press: </w:t>
      </w:r>
      <w:r w:rsidRPr="007A2C81">
        <w:rPr>
          <w:sz w:val="24"/>
          <w:szCs w:val="24"/>
        </w:rPr>
        <w:t>13-41.</w:t>
      </w:r>
    </w:p>
    <w:p w:rsidR="00B5061E" w:rsidRPr="007A2C81" w:rsidRDefault="003476AE" w:rsidP="00B5061E">
      <w:pPr>
        <w:pStyle w:val="FootnoteText"/>
        <w:ind w:left="720" w:hanging="720"/>
        <w:rPr>
          <w:sz w:val="24"/>
          <w:szCs w:val="24"/>
        </w:rPr>
      </w:pPr>
      <w:r>
        <w:rPr>
          <w:sz w:val="24"/>
          <w:szCs w:val="24"/>
        </w:rPr>
        <w:t>___. 1980. “</w:t>
      </w:r>
      <w:r w:rsidR="00B5061E" w:rsidRPr="007A2C81">
        <w:rPr>
          <w:sz w:val="24"/>
          <w:szCs w:val="24"/>
        </w:rPr>
        <w:t>Formal S</w:t>
      </w:r>
      <w:r>
        <w:rPr>
          <w:sz w:val="24"/>
          <w:szCs w:val="24"/>
        </w:rPr>
        <w:t>emantics and Natural Kind Terms”</w:t>
      </w:r>
      <w:r w:rsidR="00B5061E" w:rsidRPr="007A2C81">
        <w:rPr>
          <w:sz w:val="24"/>
          <w:szCs w:val="24"/>
        </w:rPr>
        <w:t xml:space="preserve">, </w:t>
      </w:r>
      <w:r w:rsidR="00B5061E" w:rsidRPr="007A2C81">
        <w:rPr>
          <w:i/>
          <w:sz w:val="24"/>
          <w:szCs w:val="24"/>
        </w:rPr>
        <w:t>Philosophical Studies</w:t>
      </w:r>
      <w:r>
        <w:rPr>
          <w:sz w:val="24"/>
          <w:szCs w:val="24"/>
        </w:rPr>
        <w:t xml:space="preserve"> 38:</w:t>
      </w:r>
      <w:r w:rsidR="00B5061E" w:rsidRPr="007A2C81">
        <w:rPr>
          <w:sz w:val="24"/>
          <w:szCs w:val="24"/>
        </w:rPr>
        <w:t xml:space="preserve"> 189-198.</w:t>
      </w:r>
    </w:p>
    <w:p w:rsidR="00B5061E" w:rsidRPr="007A2C81" w:rsidRDefault="003476AE" w:rsidP="00B5061E">
      <w:pPr>
        <w:pStyle w:val="FootnoteText"/>
        <w:ind w:left="720" w:hanging="720"/>
        <w:rPr>
          <w:sz w:val="24"/>
          <w:szCs w:val="24"/>
        </w:rPr>
      </w:pPr>
      <w:r>
        <w:rPr>
          <w:sz w:val="24"/>
          <w:szCs w:val="24"/>
        </w:rPr>
        <w:t>___. 2002. “</w:t>
      </w:r>
      <w:r w:rsidR="00B5061E" w:rsidRPr="007A2C81">
        <w:rPr>
          <w:sz w:val="24"/>
          <w:szCs w:val="24"/>
        </w:rPr>
        <w:t xml:space="preserve">Kinds, General Terms, and </w:t>
      </w:r>
      <w:r>
        <w:rPr>
          <w:sz w:val="24"/>
          <w:szCs w:val="24"/>
        </w:rPr>
        <w:t>Rigidity”</w:t>
      </w:r>
      <w:r w:rsidR="00B5061E" w:rsidRPr="007A2C81">
        <w:rPr>
          <w:sz w:val="24"/>
          <w:szCs w:val="24"/>
        </w:rPr>
        <w:t xml:space="preserve">, </w:t>
      </w:r>
      <w:r w:rsidR="00B5061E" w:rsidRPr="007A2C81">
        <w:rPr>
          <w:i/>
          <w:sz w:val="24"/>
          <w:szCs w:val="24"/>
        </w:rPr>
        <w:t>Philosophical Studies</w:t>
      </w:r>
      <w:r>
        <w:rPr>
          <w:sz w:val="24"/>
          <w:szCs w:val="24"/>
        </w:rPr>
        <w:t xml:space="preserve"> 109:</w:t>
      </w:r>
      <w:r w:rsidR="00B5061E" w:rsidRPr="007A2C81">
        <w:rPr>
          <w:sz w:val="24"/>
          <w:szCs w:val="24"/>
        </w:rPr>
        <w:t xml:space="preserve"> 265-277.</w:t>
      </w:r>
    </w:p>
    <w:p w:rsidR="00B5061E" w:rsidRPr="007A2C81" w:rsidRDefault="00B5061E" w:rsidP="00B5061E">
      <w:pPr>
        <w:pStyle w:val="FootnoteText"/>
        <w:ind w:left="720" w:hanging="720"/>
        <w:rPr>
          <w:sz w:val="24"/>
          <w:szCs w:val="24"/>
        </w:rPr>
      </w:pPr>
      <w:r w:rsidRPr="007A2C81">
        <w:rPr>
          <w:spacing w:val="-3"/>
          <w:sz w:val="24"/>
          <w:szCs w:val="24"/>
        </w:rPr>
        <w:lastRenderedPageBreak/>
        <w:t>___. 2020. “Against Rigidity for General Terms”</w:t>
      </w:r>
      <w:r w:rsidRPr="007A2C81">
        <w:rPr>
          <w:sz w:val="24"/>
          <w:szCs w:val="24"/>
        </w:rPr>
        <w:t xml:space="preserve"> In Bianchi 2020a: ##</w:t>
      </w:r>
    </w:p>
    <w:p w:rsidR="00640C2C" w:rsidRPr="007A2C81" w:rsidRDefault="00B5061E" w:rsidP="00B5061E">
      <w:pPr>
        <w:tabs>
          <w:tab w:val="left" w:pos="-720"/>
        </w:tabs>
        <w:suppressAutoHyphens/>
        <w:spacing w:line="240" w:lineRule="atLeast"/>
        <w:ind w:left="720" w:hanging="720"/>
        <w:rPr>
          <w:rFonts w:eastAsia="Calibri"/>
          <w:szCs w:val="24"/>
        </w:rPr>
      </w:pPr>
      <w:r w:rsidRPr="007A2C81">
        <w:rPr>
          <w:rFonts w:eastAsia="Calibri"/>
          <w:szCs w:val="24"/>
        </w:rPr>
        <w:t xml:space="preserve">Searle, John R. </w:t>
      </w:r>
      <w:r w:rsidR="00640C2C" w:rsidRPr="007A2C81">
        <w:rPr>
          <w:rFonts w:eastAsia="Calibri"/>
          <w:szCs w:val="24"/>
        </w:rPr>
        <w:t xml:space="preserve">1958. “Proper Names”. </w:t>
      </w:r>
      <w:r w:rsidR="00640C2C" w:rsidRPr="007A2C81">
        <w:rPr>
          <w:rFonts w:eastAsia="Calibri"/>
          <w:i/>
          <w:szCs w:val="24"/>
        </w:rPr>
        <w:t>Mind</w:t>
      </w:r>
      <w:r w:rsidR="00640C2C" w:rsidRPr="007A2C81">
        <w:rPr>
          <w:rFonts w:eastAsia="Calibri"/>
          <w:szCs w:val="24"/>
        </w:rPr>
        <w:t xml:space="preserve"> 67: 166-73.</w:t>
      </w:r>
    </w:p>
    <w:p w:rsidR="00B5061E" w:rsidRPr="007A2C81" w:rsidRDefault="00640C2C" w:rsidP="00B5061E">
      <w:pPr>
        <w:tabs>
          <w:tab w:val="left" w:pos="-720"/>
        </w:tabs>
        <w:suppressAutoHyphens/>
        <w:spacing w:line="240" w:lineRule="atLeast"/>
        <w:ind w:left="720" w:hanging="720"/>
        <w:rPr>
          <w:rFonts w:eastAsia="Calibri"/>
          <w:szCs w:val="24"/>
        </w:rPr>
      </w:pPr>
      <w:r w:rsidRPr="007A2C81">
        <w:rPr>
          <w:rFonts w:eastAsia="Calibri"/>
          <w:szCs w:val="24"/>
        </w:rPr>
        <w:t xml:space="preserve">___. </w:t>
      </w:r>
      <w:r w:rsidR="00B5061E" w:rsidRPr="007A2C81">
        <w:rPr>
          <w:rFonts w:eastAsia="Calibri"/>
          <w:szCs w:val="24"/>
        </w:rPr>
        <w:t xml:space="preserve">1983. </w:t>
      </w:r>
      <w:r w:rsidR="00B5061E" w:rsidRPr="007A2C81">
        <w:rPr>
          <w:rFonts w:eastAsia="Calibri"/>
          <w:i/>
          <w:szCs w:val="24"/>
        </w:rPr>
        <w:t>Intentionality: An Essay in the Philosophy of Mind.</w:t>
      </w:r>
      <w:r w:rsidR="00B5061E" w:rsidRPr="007A2C81">
        <w:rPr>
          <w:rFonts w:eastAsia="Calibri"/>
          <w:szCs w:val="24"/>
        </w:rPr>
        <w:t xml:space="preserve"> Cambridge: Cambridge University Press.</w:t>
      </w:r>
    </w:p>
    <w:p w:rsidR="00B5061E" w:rsidRPr="007A2C81" w:rsidRDefault="00B5061E" w:rsidP="00B5061E">
      <w:pPr>
        <w:ind w:left="720" w:hanging="720"/>
        <w:rPr>
          <w:szCs w:val="24"/>
        </w:rPr>
      </w:pPr>
      <w:r w:rsidRPr="007A2C81">
        <w:rPr>
          <w:szCs w:val="24"/>
        </w:rPr>
        <w:t>Slater</w:t>
      </w:r>
      <w:r w:rsidR="003476AE">
        <w:rPr>
          <w:szCs w:val="24"/>
        </w:rPr>
        <w:t>,</w:t>
      </w:r>
      <w:r w:rsidRPr="007A2C81">
        <w:rPr>
          <w:szCs w:val="24"/>
        </w:rPr>
        <w:t xml:space="preserve"> M</w:t>
      </w:r>
      <w:r w:rsidR="003476AE">
        <w:rPr>
          <w:szCs w:val="24"/>
        </w:rPr>
        <w:t xml:space="preserve">. </w:t>
      </w:r>
      <w:r w:rsidRPr="007A2C81">
        <w:rPr>
          <w:szCs w:val="24"/>
        </w:rPr>
        <w:t>H</w:t>
      </w:r>
      <w:r w:rsidR="003476AE">
        <w:rPr>
          <w:szCs w:val="24"/>
        </w:rPr>
        <w:t>. 2013.</w:t>
      </w:r>
      <w:r w:rsidRPr="007A2C81">
        <w:rPr>
          <w:szCs w:val="24"/>
        </w:rPr>
        <w:t xml:space="preserve"> </w:t>
      </w:r>
      <w:r w:rsidR="003476AE" w:rsidRPr="003476AE">
        <w:rPr>
          <w:i/>
          <w:szCs w:val="24"/>
        </w:rPr>
        <w:t>Are Species R</w:t>
      </w:r>
      <w:r w:rsidRPr="003476AE">
        <w:rPr>
          <w:i/>
          <w:szCs w:val="24"/>
        </w:rPr>
        <w:t xml:space="preserve">eal? </w:t>
      </w:r>
      <w:r w:rsidR="003476AE" w:rsidRPr="003476AE">
        <w:rPr>
          <w:i/>
          <w:szCs w:val="24"/>
        </w:rPr>
        <w:t>An Essay on the Metaphysics of S</w:t>
      </w:r>
      <w:r w:rsidRPr="003476AE">
        <w:rPr>
          <w:i/>
          <w:szCs w:val="24"/>
        </w:rPr>
        <w:t>pecies</w:t>
      </w:r>
      <w:r w:rsidRPr="007A2C81">
        <w:rPr>
          <w:szCs w:val="24"/>
        </w:rPr>
        <w:t>. New York: Palgrave Macmillan</w:t>
      </w:r>
      <w:r w:rsidR="003476AE">
        <w:rPr>
          <w:szCs w:val="24"/>
        </w:rPr>
        <w:t>.</w:t>
      </w:r>
    </w:p>
    <w:p w:rsidR="00B5061E" w:rsidRPr="007A2C81" w:rsidRDefault="00B5061E" w:rsidP="00B5061E">
      <w:pPr>
        <w:tabs>
          <w:tab w:val="left" w:pos="-720"/>
        </w:tabs>
        <w:spacing w:line="240" w:lineRule="atLeast"/>
        <w:ind w:left="720" w:hanging="720"/>
        <w:rPr>
          <w:szCs w:val="24"/>
        </w:rPr>
      </w:pPr>
      <w:r w:rsidRPr="007A2C81">
        <w:rPr>
          <w:szCs w:val="24"/>
        </w:rPr>
        <w:t>Soames, Scott. 1985. “Lost Innocence</w:t>
      </w:r>
      <w:r w:rsidR="003476AE">
        <w:rPr>
          <w:szCs w:val="24"/>
        </w:rPr>
        <w:t>”</w:t>
      </w:r>
      <w:r w:rsidRPr="007A2C81">
        <w:rPr>
          <w:szCs w:val="24"/>
        </w:rPr>
        <w:t xml:space="preserve">. </w:t>
      </w:r>
      <w:r w:rsidRPr="007A2C81">
        <w:rPr>
          <w:i/>
          <w:szCs w:val="24"/>
        </w:rPr>
        <w:t>Linguistics and Philosophy</w:t>
      </w:r>
      <w:r w:rsidRPr="007A2C81">
        <w:rPr>
          <w:szCs w:val="24"/>
        </w:rPr>
        <w:t xml:space="preserve"> 8: 59</w:t>
      </w:r>
      <w:r w:rsidRPr="007A2C81">
        <w:rPr>
          <w:szCs w:val="24"/>
        </w:rPr>
        <w:noBreakHyphen/>
        <w:t>71.</w:t>
      </w:r>
    </w:p>
    <w:p w:rsidR="00B5061E" w:rsidRPr="007A2C81" w:rsidRDefault="00B5061E" w:rsidP="00B5061E">
      <w:pPr>
        <w:tabs>
          <w:tab w:val="left" w:pos="-720"/>
          <w:tab w:val="left" w:pos="0"/>
        </w:tabs>
        <w:suppressAutoHyphens/>
        <w:ind w:left="720" w:hanging="720"/>
        <w:rPr>
          <w:szCs w:val="24"/>
        </w:rPr>
      </w:pPr>
      <w:r w:rsidRPr="007A2C81">
        <w:rPr>
          <w:szCs w:val="24"/>
        </w:rPr>
        <w:t xml:space="preserve">___. 1987. “Direct Reference, Propositional Attitudes, and Semantic Content”. </w:t>
      </w:r>
      <w:r w:rsidRPr="007A2C81">
        <w:rPr>
          <w:i/>
          <w:szCs w:val="24"/>
        </w:rPr>
        <w:t>Philosophical Topics</w:t>
      </w:r>
      <w:r w:rsidRPr="007A2C81">
        <w:rPr>
          <w:szCs w:val="24"/>
        </w:rPr>
        <w:t xml:space="preserve"> 15: 47</w:t>
      </w:r>
      <w:r w:rsidRPr="007A2C81">
        <w:rPr>
          <w:szCs w:val="24"/>
        </w:rPr>
        <w:noBreakHyphen/>
        <w:t>87.</w:t>
      </w:r>
    </w:p>
    <w:p w:rsidR="00B5061E" w:rsidRPr="007A2C81" w:rsidRDefault="003476AE" w:rsidP="00B5061E">
      <w:pPr>
        <w:tabs>
          <w:tab w:val="left" w:pos="-720"/>
          <w:tab w:val="left" w:pos="0"/>
        </w:tabs>
        <w:suppressAutoHyphens/>
        <w:ind w:left="720" w:hanging="720"/>
        <w:rPr>
          <w:szCs w:val="24"/>
          <w:lang w:val="de-DE"/>
        </w:rPr>
      </w:pPr>
      <w:r>
        <w:rPr>
          <w:szCs w:val="24"/>
          <w:lang w:val="de-DE"/>
        </w:rPr>
        <w:t>___. 2002.</w:t>
      </w:r>
      <w:r w:rsidR="00B5061E" w:rsidRPr="007A2C81">
        <w:rPr>
          <w:szCs w:val="24"/>
          <w:lang w:val="de-DE"/>
        </w:rPr>
        <w:t xml:space="preserve"> </w:t>
      </w:r>
      <w:r w:rsidR="00B5061E" w:rsidRPr="007A2C81">
        <w:rPr>
          <w:i/>
          <w:szCs w:val="24"/>
          <w:lang w:val="de-DE"/>
        </w:rPr>
        <w:t>Beyond Rigidity: The Unfinished Semantic Agenda of Naming and Necessity</w:t>
      </w:r>
      <w:r w:rsidR="00B5061E" w:rsidRPr="007A2C81">
        <w:rPr>
          <w:szCs w:val="24"/>
          <w:lang w:val="de-DE"/>
        </w:rPr>
        <w:t>. New York: Oxford University Press.</w:t>
      </w:r>
    </w:p>
    <w:p w:rsidR="00D176FB" w:rsidRPr="007A2C81" w:rsidRDefault="00D176FB" w:rsidP="00D176FB">
      <w:pPr>
        <w:ind w:left="720" w:hanging="720"/>
        <w:rPr>
          <w:spacing w:val="-3"/>
          <w:szCs w:val="24"/>
        </w:rPr>
      </w:pPr>
      <w:r>
        <w:rPr>
          <w:szCs w:val="24"/>
        </w:rPr>
        <w:t>Sober, Elliott. 1980</w:t>
      </w:r>
      <w:r w:rsidR="00B5061E" w:rsidRPr="007A2C81">
        <w:rPr>
          <w:szCs w:val="24"/>
        </w:rPr>
        <w:t>. “Evolution, Population Thinking and Essentialism</w:t>
      </w:r>
      <w:r>
        <w:rPr>
          <w:szCs w:val="24"/>
        </w:rPr>
        <w:t>”</w:t>
      </w:r>
      <w:r w:rsidR="00B5061E" w:rsidRPr="007A2C81">
        <w:rPr>
          <w:szCs w:val="24"/>
        </w:rPr>
        <w:t xml:space="preserve">. </w:t>
      </w:r>
      <w:r w:rsidR="00B5061E" w:rsidRPr="007A2C81">
        <w:rPr>
          <w:i/>
          <w:szCs w:val="24"/>
        </w:rPr>
        <w:t>Philosophy of Science</w:t>
      </w:r>
      <w:r w:rsidR="00B5061E" w:rsidRPr="007A2C81">
        <w:rPr>
          <w:szCs w:val="24"/>
        </w:rPr>
        <w:t xml:space="preserve"> 47:</w:t>
      </w:r>
      <w:r>
        <w:rPr>
          <w:szCs w:val="24"/>
        </w:rPr>
        <w:t xml:space="preserve"> </w:t>
      </w:r>
      <w:r w:rsidR="00B5061E" w:rsidRPr="007A2C81">
        <w:rPr>
          <w:szCs w:val="24"/>
        </w:rPr>
        <w:t xml:space="preserve">350-383. </w:t>
      </w:r>
      <w:r w:rsidRPr="000475A6">
        <w:rPr>
          <w:spacing w:val="-3"/>
          <w:szCs w:val="24"/>
        </w:rPr>
        <w:t>Reprinted in</w:t>
      </w:r>
      <w:r w:rsidRPr="006C56A6">
        <w:rPr>
          <w:spacing w:val="-3"/>
          <w:szCs w:val="24"/>
        </w:rPr>
        <w:t xml:space="preserve"> </w:t>
      </w:r>
      <w:r>
        <w:rPr>
          <w:spacing w:val="-3"/>
          <w:szCs w:val="24"/>
        </w:rPr>
        <w:t>Marc Ereshefsky (ed.),</w:t>
      </w:r>
      <w:r w:rsidRPr="000475A6">
        <w:rPr>
          <w:spacing w:val="-3"/>
          <w:szCs w:val="24"/>
        </w:rPr>
        <w:t xml:space="preserve"> </w:t>
      </w:r>
      <w:r w:rsidRPr="000475A6">
        <w:rPr>
          <w:i/>
          <w:iCs/>
          <w:spacing w:val="-3"/>
          <w:szCs w:val="24"/>
        </w:rPr>
        <w:t>The Units of</w:t>
      </w:r>
      <w:r>
        <w:rPr>
          <w:i/>
          <w:iCs/>
          <w:spacing w:val="-3"/>
          <w:szCs w:val="24"/>
        </w:rPr>
        <w:t xml:space="preserve"> </w:t>
      </w:r>
      <w:r w:rsidRPr="000475A6">
        <w:rPr>
          <w:i/>
          <w:iCs/>
          <w:spacing w:val="-3"/>
          <w:szCs w:val="24"/>
        </w:rPr>
        <w:t>Evolution: Essays on the Nature of Species</w:t>
      </w:r>
      <w:r>
        <w:rPr>
          <w:spacing w:val="-3"/>
          <w:szCs w:val="24"/>
        </w:rPr>
        <w:t>.</w:t>
      </w:r>
      <w:r w:rsidRPr="000475A6">
        <w:rPr>
          <w:spacing w:val="-3"/>
          <w:szCs w:val="24"/>
        </w:rPr>
        <w:t xml:space="preserve"> Cambridge, MA:</w:t>
      </w:r>
      <w:r>
        <w:rPr>
          <w:spacing w:val="-3"/>
          <w:szCs w:val="24"/>
        </w:rPr>
        <w:t xml:space="preserve"> </w:t>
      </w:r>
      <w:r w:rsidRPr="000475A6">
        <w:rPr>
          <w:spacing w:val="-3"/>
          <w:szCs w:val="24"/>
        </w:rPr>
        <w:t xml:space="preserve">MIT Press, </w:t>
      </w:r>
      <w:r w:rsidRPr="007A2C81">
        <w:rPr>
          <w:szCs w:val="24"/>
        </w:rPr>
        <w:t>247-278</w:t>
      </w:r>
      <w:r w:rsidRPr="000475A6">
        <w:rPr>
          <w:spacing w:val="-3"/>
          <w:szCs w:val="24"/>
        </w:rPr>
        <w:t>.</w:t>
      </w:r>
      <w:r>
        <w:rPr>
          <w:spacing w:val="-3"/>
          <w:szCs w:val="24"/>
        </w:rPr>
        <w:t xml:space="preserve"> [Citation is to Ereshefsky 1992.]</w:t>
      </w:r>
    </w:p>
    <w:p w:rsidR="00B5061E" w:rsidRDefault="00D176FB" w:rsidP="00B5061E">
      <w:pPr>
        <w:tabs>
          <w:tab w:val="left" w:pos="-720"/>
          <w:tab w:val="left" w:pos="0"/>
        </w:tabs>
        <w:suppressAutoHyphens/>
        <w:ind w:left="720" w:hanging="720"/>
        <w:rPr>
          <w:szCs w:val="24"/>
        </w:rPr>
      </w:pPr>
      <w:r>
        <w:rPr>
          <w:spacing w:val="-3"/>
          <w:szCs w:val="24"/>
        </w:rPr>
        <w:t>Sterelny, Kim,</w:t>
      </w:r>
      <w:r w:rsidR="00B5061E" w:rsidRPr="007A2C81">
        <w:rPr>
          <w:spacing w:val="-3"/>
          <w:szCs w:val="24"/>
        </w:rPr>
        <w:t xml:space="preserve"> </w:t>
      </w:r>
      <w:r w:rsidR="00B5061E" w:rsidRPr="007A2C81">
        <w:rPr>
          <w:szCs w:val="24"/>
        </w:rPr>
        <w:t>and Paul Griffiths</w:t>
      </w:r>
      <w:r>
        <w:rPr>
          <w:szCs w:val="24"/>
        </w:rPr>
        <w:t>. 1999.</w:t>
      </w:r>
      <w:r w:rsidR="00B5061E" w:rsidRPr="007A2C81">
        <w:rPr>
          <w:szCs w:val="24"/>
        </w:rPr>
        <w:t xml:space="preserve"> </w:t>
      </w:r>
      <w:r>
        <w:rPr>
          <w:i/>
          <w:szCs w:val="24"/>
        </w:rPr>
        <w:t>Sex and D</w:t>
      </w:r>
      <w:r w:rsidR="00B5061E" w:rsidRPr="00D176FB">
        <w:rPr>
          <w:i/>
          <w:szCs w:val="24"/>
        </w:rPr>
        <w:t>eath</w:t>
      </w:r>
      <w:r w:rsidR="00B5061E" w:rsidRPr="007A2C81">
        <w:rPr>
          <w:szCs w:val="24"/>
        </w:rPr>
        <w:t>. Chicago: University of Chicago Press.</w:t>
      </w:r>
    </w:p>
    <w:p w:rsidR="00A46469" w:rsidRPr="007A2C81" w:rsidRDefault="00A46469" w:rsidP="00B5061E">
      <w:pPr>
        <w:tabs>
          <w:tab w:val="left" w:pos="-720"/>
          <w:tab w:val="left" w:pos="0"/>
        </w:tabs>
        <w:suppressAutoHyphens/>
        <w:ind w:left="720" w:hanging="720"/>
        <w:rPr>
          <w:szCs w:val="24"/>
        </w:rPr>
      </w:pPr>
      <w:proofErr w:type="spellStart"/>
      <w:r>
        <w:rPr>
          <w:szCs w:val="24"/>
        </w:rPr>
        <w:t>Strawson</w:t>
      </w:r>
      <w:proofErr w:type="spellEnd"/>
      <w:r>
        <w:rPr>
          <w:szCs w:val="24"/>
        </w:rPr>
        <w:t xml:space="preserve">, P. F. 1959. </w:t>
      </w:r>
      <w:r w:rsidRPr="00A46469">
        <w:rPr>
          <w:i/>
          <w:szCs w:val="24"/>
        </w:rPr>
        <w:t>Individuals</w:t>
      </w:r>
      <w:r>
        <w:rPr>
          <w:i/>
          <w:szCs w:val="24"/>
        </w:rPr>
        <w:t>: An Essay in Descriptive Metaphysics</w:t>
      </w:r>
      <w:r>
        <w:rPr>
          <w:szCs w:val="24"/>
        </w:rPr>
        <w:t>. London: Methuen.</w:t>
      </w:r>
    </w:p>
    <w:p w:rsidR="00B5061E" w:rsidRPr="007A2C81" w:rsidRDefault="00B5061E" w:rsidP="00B5061E">
      <w:pPr>
        <w:tabs>
          <w:tab w:val="left" w:pos="-720"/>
          <w:tab w:val="left" w:pos="0"/>
        </w:tabs>
        <w:suppressAutoHyphens/>
        <w:ind w:left="720" w:hanging="720"/>
        <w:rPr>
          <w:szCs w:val="24"/>
        </w:rPr>
      </w:pPr>
      <w:r w:rsidRPr="007A2C81">
        <w:rPr>
          <w:szCs w:val="24"/>
        </w:rPr>
        <w:t>Sullivan, Arthur. 2010. “</w:t>
      </w:r>
      <w:proofErr w:type="spellStart"/>
      <w:r w:rsidRPr="007A2C81">
        <w:rPr>
          <w:szCs w:val="24"/>
        </w:rPr>
        <w:t>Millian</w:t>
      </w:r>
      <w:proofErr w:type="spellEnd"/>
      <w:r w:rsidR="00D176FB">
        <w:rPr>
          <w:szCs w:val="24"/>
        </w:rPr>
        <w:t xml:space="preserve"> Externalism”. In Robin </w:t>
      </w:r>
      <w:proofErr w:type="spellStart"/>
      <w:r w:rsidR="00D176FB">
        <w:rPr>
          <w:szCs w:val="24"/>
        </w:rPr>
        <w:t>Jeshion</w:t>
      </w:r>
      <w:proofErr w:type="spellEnd"/>
      <w:r w:rsidRPr="007A2C81">
        <w:rPr>
          <w:szCs w:val="24"/>
        </w:rPr>
        <w:t xml:space="preserve"> </w:t>
      </w:r>
      <w:r w:rsidR="00D176FB">
        <w:rPr>
          <w:szCs w:val="24"/>
        </w:rPr>
        <w:t>(</w:t>
      </w:r>
      <w:r w:rsidRPr="007A2C81">
        <w:rPr>
          <w:szCs w:val="24"/>
        </w:rPr>
        <w:t>ed.</w:t>
      </w:r>
      <w:r w:rsidR="00D176FB">
        <w:rPr>
          <w:szCs w:val="24"/>
        </w:rPr>
        <w:t>)</w:t>
      </w:r>
      <w:r w:rsidRPr="007A2C81">
        <w:rPr>
          <w:szCs w:val="24"/>
        </w:rPr>
        <w:t xml:space="preserve">, </w:t>
      </w:r>
      <w:r w:rsidRPr="007A2C81">
        <w:rPr>
          <w:i/>
          <w:szCs w:val="24"/>
        </w:rPr>
        <w:t>New Essays on Singular Thought</w:t>
      </w:r>
      <w:r w:rsidRPr="007A2C81">
        <w:rPr>
          <w:szCs w:val="24"/>
        </w:rPr>
        <w:t>. Oxford: Oxford University Press: 246-69.</w:t>
      </w:r>
    </w:p>
    <w:p w:rsidR="00B5061E" w:rsidRPr="007A2C81" w:rsidRDefault="00B5061E" w:rsidP="00B5061E">
      <w:pPr>
        <w:ind w:left="720" w:hanging="720"/>
        <w:rPr>
          <w:spacing w:val="-3"/>
          <w:szCs w:val="24"/>
          <w:lang w:bidi="en-US"/>
        </w:rPr>
      </w:pPr>
      <w:r w:rsidRPr="007A2C81">
        <w:rPr>
          <w:spacing w:val="-3"/>
          <w:szCs w:val="24"/>
          <w:lang w:bidi="en-US"/>
        </w:rPr>
        <w:t xml:space="preserve">Sytsma, J., and </w:t>
      </w:r>
      <w:r w:rsidR="00D176FB">
        <w:rPr>
          <w:spacing w:val="-3"/>
          <w:szCs w:val="24"/>
          <w:lang w:bidi="en-US"/>
        </w:rPr>
        <w:t xml:space="preserve">J. </w:t>
      </w:r>
      <w:proofErr w:type="spellStart"/>
      <w:r w:rsidR="00D176FB">
        <w:rPr>
          <w:spacing w:val="-3"/>
          <w:szCs w:val="24"/>
          <w:lang w:bidi="en-US"/>
        </w:rPr>
        <w:t>Livengood</w:t>
      </w:r>
      <w:proofErr w:type="spellEnd"/>
      <w:r w:rsidR="00D176FB">
        <w:rPr>
          <w:spacing w:val="-3"/>
          <w:szCs w:val="24"/>
          <w:lang w:bidi="en-US"/>
        </w:rPr>
        <w:t xml:space="preserve">. </w:t>
      </w:r>
      <w:r w:rsidRPr="007A2C81">
        <w:rPr>
          <w:spacing w:val="-3"/>
          <w:szCs w:val="24"/>
          <w:lang w:bidi="en-US"/>
        </w:rPr>
        <w:t>2</w:t>
      </w:r>
      <w:r w:rsidR="00D176FB">
        <w:rPr>
          <w:spacing w:val="-3"/>
          <w:szCs w:val="24"/>
          <w:lang w:bidi="en-US"/>
        </w:rPr>
        <w:t>011. A New Perspective Concerning Experiments on Semantic I</w:t>
      </w:r>
      <w:r w:rsidRPr="007A2C81">
        <w:rPr>
          <w:spacing w:val="-3"/>
          <w:szCs w:val="24"/>
          <w:lang w:bidi="en-US"/>
        </w:rPr>
        <w:t xml:space="preserve">ntuitions. </w:t>
      </w:r>
      <w:r w:rsidRPr="007A2C81">
        <w:rPr>
          <w:i/>
          <w:spacing w:val="-3"/>
          <w:szCs w:val="24"/>
          <w:lang w:bidi="en-US"/>
        </w:rPr>
        <w:t>Australasian Journal of Philosophy</w:t>
      </w:r>
      <w:r w:rsidR="00D176FB">
        <w:rPr>
          <w:spacing w:val="-3"/>
          <w:szCs w:val="24"/>
          <w:lang w:bidi="en-US"/>
        </w:rPr>
        <w:t xml:space="preserve"> 89(2):</w:t>
      </w:r>
      <w:r w:rsidRPr="007A2C81">
        <w:rPr>
          <w:spacing w:val="-3"/>
          <w:szCs w:val="24"/>
          <w:lang w:bidi="en-US"/>
        </w:rPr>
        <w:t xml:space="preserve"> 315–32. </w:t>
      </w:r>
      <w:hyperlink r:id="rId18" w:history="1">
        <w:r w:rsidRPr="007A2C81">
          <w:rPr>
            <w:rStyle w:val="Hyperlink"/>
            <w:spacing w:val="-3"/>
            <w:szCs w:val="24"/>
            <w:lang w:bidi="en-US"/>
          </w:rPr>
          <w:t>https://doi.org/10.1080/00048401003639832</w:t>
        </w:r>
      </w:hyperlink>
    </w:p>
    <w:p w:rsidR="00B5061E" w:rsidRPr="007A2C81" w:rsidRDefault="00B5061E" w:rsidP="00B5061E">
      <w:pPr>
        <w:tabs>
          <w:tab w:val="left" w:pos="-720"/>
        </w:tabs>
        <w:suppressAutoHyphens/>
        <w:spacing w:line="240" w:lineRule="atLeast"/>
        <w:ind w:left="720" w:hanging="720"/>
        <w:rPr>
          <w:szCs w:val="24"/>
        </w:rPr>
      </w:pPr>
      <w:proofErr w:type="spellStart"/>
      <w:r w:rsidRPr="007A2C81">
        <w:rPr>
          <w:rFonts w:cs="Times New Roman"/>
          <w:szCs w:val="24"/>
        </w:rPr>
        <w:t>Tahko</w:t>
      </w:r>
      <w:proofErr w:type="spellEnd"/>
      <w:r w:rsidRPr="007A2C81">
        <w:rPr>
          <w:rFonts w:cs="Times New Roman"/>
          <w:szCs w:val="24"/>
        </w:rPr>
        <w:t xml:space="preserve">, </w:t>
      </w:r>
      <w:proofErr w:type="spellStart"/>
      <w:r w:rsidRPr="007A2C81">
        <w:rPr>
          <w:rFonts w:cs="Times New Roman"/>
          <w:szCs w:val="24"/>
        </w:rPr>
        <w:t>Tuomas</w:t>
      </w:r>
      <w:proofErr w:type="spellEnd"/>
      <w:r w:rsidRPr="007A2C81">
        <w:rPr>
          <w:rFonts w:cs="Times New Roman"/>
          <w:szCs w:val="24"/>
        </w:rPr>
        <w:t xml:space="preserve"> E. 2015. “Natural Ki</w:t>
      </w:r>
      <w:r w:rsidR="00D176FB">
        <w:rPr>
          <w:rFonts w:cs="Times New Roman"/>
          <w:szCs w:val="24"/>
        </w:rPr>
        <w:t>nd Essentialism Revisited</w:t>
      </w:r>
      <w:r w:rsidRPr="007A2C81">
        <w:rPr>
          <w:rFonts w:cs="Times New Roman"/>
          <w:szCs w:val="24"/>
        </w:rPr>
        <w:t>”</w:t>
      </w:r>
      <w:r w:rsidR="00D176FB">
        <w:rPr>
          <w:rFonts w:cs="Times New Roman"/>
          <w:szCs w:val="24"/>
        </w:rPr>
        <w:t>.</w:t>
      </w:r>
      <w:r w:rsidRPr="007A2C81">
        <w:rPr>
          <w:rFonts w:cs="Times New Roman"/>
          <w:szCs w:val="24"/>
        </w:rPr>
        <w:t xml:space="preserve"> </w:t>
      </w:r>
      <w:r w:rsidRPr="007A2C81">
        <w:rPr>
          <w:rFonts w:cs="Times New Roman"/>
          <w:i/>
          <w:szCs w:val="24"/>
        </w:rPr>
        <w:t>Mind</w:t>
      </w:r>
      <w:r w:rsidRPr="007A2C81">
        <w:rPr>
          <w:rFonts w:cs="Times New Roman"/>
          <w:szCs w:val="24"/>
        </w:rPr>
        <w:t>, 124: 795-822.</w:t>
      </w:r>
    </w:p>
    <w:p w:rsidR="00B5061E" w:rsidRPr="007A2C81" w:rsidRDefault="00B5061E" w:rsidP="00B5061E">
      <w:pPr>
        <w:tabs>
          <w:tab w:val="left" w:pos="-720"/>
        </w:tabs>
        <w:suppressAutoHyphens/>
        <w:spacing w:line="240" w:lineRule="atLeast"/>
        <w:ind w:left="720" w:hanging="720"/>
        <w:rPr>
          <w:szCs w:val="24"/>
        </w:rPr>
      </w:pPr>
      <w:proofErr w:type="spellStart"/>
      <w:r w:rsidRPr="007A2C81">
        <w:rPr>
          <w:szCs w:val="24"/>
        </w:rPr>
        <w:t>Tye</w:t>
      </w:r>
      <w:proofErr w:type="spellEnd"/>
      <w:r w:rsidRPr="007A2C81">
        <w:rPr>
          <w:szCs w:val="24"/>
        </w:rPr>
        <w:t xml:space="preserve">, Michael. 1978. “The Puzzle of Hesperus and Phosphorus”. </w:t>
      </w:r>
      <w:r w:rsidRPr="007A2C81">
        <w:rPr>
          <w:i/>
          <w:szCs w:val="24"/>
        </w:rPr>
        <w:t>Australasian Journal of Philosophy</w:t>
      </w:r>
      <w:r w:rsidRPr="007A2C81">
        <w:rPr>
          <w:szCs w:val="24"/>
        </w:rPr>
        <w:t xml:space="preserve"> 56: 219-24.</w:t>
      </w:r>
    </w:p>
    <w:p w:rsidR="00B5061E" w:rsidRPr="007A2C81" w:rsidRDefault="00B5061E" w:rsidP="00B5061E">
      <w:pPr>
        <w:tabs>
          <w:tab w:val="left" w:pos="-720"/>
        </w:tabs>
        <w:spacing w:line="240" w:lineRule="atLeast"/>
        <w:ind w:left="720" w:hanging="720"/>
        <w:rPr>
          <w:spacing w:val="-3"/>
          <w:szCs w:val="24"/>
        </w:rPr>
      </w:pPr>
      <w:r w:rsidRPr="007A2C81">
        <w:rPr>
          <w:spacing w:val="-3"/>
          <w:szCs w:val="24"/>
        </w:rPr>
        <w:t>Wagner, Steven J. 1986. “California Semantics Meets the Great Fact”.</w:t>
      </w:r>
      <w:r w:rsidR="005C1815">
        <w:rPr>
          <w:spacing w:val="-3"/>
          <w:szCs w:val="24"/>
        </w:rPr>
        <w:t xml:space="preserve"> </w:t>
      </w:r>
      <w:r w:rsidR="005C1815" w:rsidRPr="00224583">
        <w:rPr>
          <w:i/>
          <w:spacing w:val="-3"/>
          <w:szCs w:val="24"/>
        </w:rPr>
        <w:t>Notre Dame Journal of Formal Logic</w:t>
      </w:r>
      <w:r w:rsidR="005C1815" w:rsidRPr="00224583">
        <w:rPr>
          <w:spacing w:val="-3"/>
          <w:szCs w:val="24"/>
        </w:rPr>
        <w:t xml:space="preserve"> 27: 430</w:t>
      </w:r>
      <w:r w:rsidR="005C1815" w:rsidRPr="00224583">
        <w:rPr>
          <w:spacing w:val="-3"/>
          <w:szCs w:val="24"/>
        </w:rPr>
        <w:noBreakHyphen/>
        <w:t>55.</w:t>
      </w:r>
    </w:p>
    <w:p w:rsidR="00B5061E" w:rsidRPr="007A2C81" w:rsidRDefault="00B5061E" w:rsidP="00B5061E">
      <w:pPr>
        <w:tabs>
          <w:tab w:val="left" w:pos="-720"/>
          <w:tab w:val="left" w:pos="0"/>
        </w:tabs>
        <w:suppressAutoHyphens/>
        <w:ind w:left="720" w:hanging="720"/>
        <w:rPr>
          <w:rStyle w:val="Hyperlink"/>
          <w:spacing w:val="-3"/>
          <w:szCs w:val="24"/>
          <w:lang w:bidi="en-US"/>
        </w:rPr>
      </w:pPr>
      <w:r w:rsidRPr="007A2C81">
        <w:rPr>
          <w:szCs w:val="24"/>
          <w:lang w:bidi="en-US"/>
        </w:rPr>
        <w:t xml:space="preserve">Weinberg, J. M., </w:t>
      </w:r>
      <w:r w:rsidR="00D176FB">
        <w:rPr>
          <w:szCs w:val="24"/>
          <w:lang w:bidi="en-US"/>
        </w:rPr>
        <w:t xml:space="preserve">C. </w:t>
      </w:r>
      <w:proofErr w:type="spellStart"/>
      <w:r w:rsidRPr="007A2C81">
        <w:rPr>
          <w:szCs w:val="24"/>
          <w:lang w:bidi="en-US"/>
        </w:rPr>
        <w:t>Gonnerman</w:t>
      </w:r>
      <w:proofErr w:type="spellEnd"/>
      <w:r w:rsidRPr="007A2C81">
        <w:rPr>
          <w:szCs w:val="24"/>
          <w:lang w:bidi="en-US"/>
        </w:rPr>
        <w:t>,</w:t>
      </w:r>
      <w:r w:rsidR="00D176FB">
        <w:rPr>
          <w:szCs w:val="24"/>
          <w:lang w:bidi="en-US"/>
        </w:rPr>
        <w:t xml:space="preserve"> C.</w:t>
      </w:r>
      <w:r w:rsidRPr="007A2C81">
        <w:rPr>
          <w:szCs w:val="24"/>
          <w:lang w:bidi="en-US"/>
        </w:rPr>
        <w:t xml:space="preserve"> Buckner, and </w:t>
      </w:r>
      <w:r w:rsidR="00D176FB">
        <w:rPr>
          <w:szCs w:val="24"/>
          <w:lang w:bidi="en-US"/>
        </w:rPr>
        <w:t xml:space="preserve">J. </w:t>
      </w:r>
      <w:r w:rsidRPr="007A2C81">
        <w:rPr>
          <w:szCs w:val="24"/>
          <w:lang w:bidi="en-US"/>
        </w:rPr>
        <w:t>Alexander</w:t>
      </w:r>
      <w:r w:rsidR="00D176FB">
        <w:rPr>
          <w:szCs w:val="24"/>
          <w:lang w:bidi="en-US"/>
        </w:rPr>
        <w:t xml:space="preserve">. 2010. </w:t>
      </w:r>
      <w:r w:rsidR="005C1815">
        <w:rPr>
          <w:szCs w:val="24"/>
          <w:lang w:bidi="en-US"/>
        </w:rPr>
        <w:t>“</w:t>
      </w:r>
      <w:r w:rsidR="00D176FB">
        <w:rPr>
          <w:szCs w:val="24"/>
          <w:lang w:bidi="en-US"/>
        </w:rPr>
        <w:t xml:space="preserve">Are Philosophers Expert </w:t>
      </w:r>
      <w:proofErr w:type="spellStart"/>
      <w:r w:rsidR="00D176FB">
        <w:rPr>
          <w:szCs w:val="24"/>
          <w:lang w:bidi="en-US"/>
        </w:rPr>
        <w:t>I</w:t>
      </w:r>
      <w:r w:rsidRPr="007A2C81">
        <w:rPr>
          <w:szCs w:val="24"/>
          <w:lang w:bidi="en-US"/>
        </w:rPr>
        <w:t>ntuiters</w:t>
      </w:r>
      <w:proofErr w:type="spellEnd"/>
      <w:r w:rsidRPr="007A2C81">
        <w:rPr>
          <w:szCs w:val="24"/>
          <w:lang w:bidi="en-US"/>
        </w:rPr>
        <w:t>?</w:t>
      </w:r>
      <w:r w:rsidR="005C1815">
        <w:rPr>
          <w:szCs w:val="24"/>
          <w:lang w:bidi="en-US"/>
        </w:rPr>
        <w:t>”</w:t>
      </w:r>
      <w:r w:rsidRPr="007A2C81">
        <w:rPr>
          <w:szCs w:val="24"/>
          <w:lang w:bidi="en-US"/>
        </w:rPr>
        <w:t xml:space="preserve"> </w:t>
      </w:r>
      <w:r w:rsidRPr="007A2C81">
        <w:rPr>
          <w:i/>
          <w:iCs/>
          <w:szCs w:val="24"/>
          <w:lang w:bidi="en-US"/>
        </w:rPr>
        <w:t>Philosophical Psychology</w:t>
      </w:r>
      <w:r w:rsidR="005C1815">
        <w:rPr>
          <w:iCs/>
          <w:szCs w:val="24"/>
          <w:lang w:bidi="en-US"/>
        </w:rPr>
        <w:t xml:space="preserve"> 23(3):</w:t>
      </w:r>
      <w:r w:rsidRPr="007A2C81">
        <w:rPr>
          <w:iCs/>
          <w:szCs w:val="24"/>
          <w:lang w:bidi="en-US"/>
        </w:rPr>
        <w:t xml:space="preserve"> </w:t>
      </w:r>
      <w:r w:rsidRPr="007A2C81">
        <w:rPr>
          <w:szCs w:val="24"/>
          <w:lang w:bidi="en-US"/>
        </w:rPr>
        <w:t>331-55.</w:t>
      </w:r>
      <w:r w:rsidR="00D176FB">
        <w:rPr>
          <w:szCs w:val="24"/>
          <w:lang w:bidi="en-US"/>
        </w:rPr>
        <w:t xml:space="preserve"> </w:t>
      </w:r>
      <w:hyperlink r:id="rId19" w:history="1">
        <w:r w:rsidRPr="007A2C81">
          <w:rPr>
            <w:rStyle w:val="Hyperlink"/>
            <w:spacing w:val="-3"/>
            <w:szCs w:val="24"/>
            <w:lang w:bidi="en-US"/>
          </w:rPr>
          <w:t>https://doi.org/10.1080/09515089.2010.490944</w:t>
        </w:r>
      </w:hyperlink>
    </w:p>
    <w:p w:rsidR="00B5061E" w:rsidRPr="007A2C81" w:rsidRDefault="00B5061E" w:rsidP="00B5061E">
      <w:pPr>
        <w:tabs>
          <w:tab w:val="left" w:pos="-720"/>
        </w:tabs>
        <w:spacing w:line="240" w:lineRule="atLeast"/>
        <w:ind w:left="720" w:hanging="720"/>
        <w:rPr>
          <w:spacing w:val="-3"/>
          <w:szCs w:val="24"/>
        </w:rPr>
      </w:pPr>
      <w:proofErr w:type="spellStart"/>
      <w:r w:rsidRPr="007A2C81">
        <w:rPr>
          <w:spacing w:val="-3"/>
          <w:szCs w:val="24"/>
        </w:rPr>
        <w:t>Wettstein</w:t>
      </w:r>
      <w:proofErr w:type="spellEnd"/>
      <w:r w:rsidRPr="007A2C81">
        <w:rPr>
          <w:spacing w:val="-3"/>
          <w:szCs w:val="24"/>
        </w:rPr>
        <w:t xml:space="preserve">, Howard. 1986. “Has Semantics Rested on a Mistake?” </w:t>
      </w:r>
      <w:r w:rsidRPr="007A2C81">
        <w:rPr>
          <w:i/>
          <w:spacing w:val="-3"/>
          <w:szCs w:val="24"/>
        </w:rPr>
        <w:t>Journal of Philosophy</w:t>
      </w:r>
      <w:r w:rsidRPr="007A2C81">
        <w:rPr>
          <w:spacing w:val="-3"/>
          <w:szCs w:val="24"/>
        </w:rPr>
        <w:t xml:space="preserve"> LXIII: 185</w:t>
      </w:r>
      <w:r w:rsidRPr="007A2C81">
        <w:rPr>
          <w:spacing w:val="-3"/>
          <w:szCs w:val="24"/>
        </w:rPr>
        <w:noBreakHyphen/>
        <w:t>209.</w:t>
      </w:r>
    </w:p>
    <w:p w:rsidR="00B5061E" w:rsidRPr="007A2C81" w:rsidRDefault="00B5061E" w:rsidP="00B5061E">
      <w:pPr>
        <w:tabs>
          <w:tab w:val="left" w:pos="-720"/>
        </w:tabs>
        <w:spacing w:line="240" w:lineRule="atLeast"/>
        <w:ind w:left="720" w:hanging="720"/>
        <w:rPr>
          <w:rFonts w:eastAsia="Calibri"/>
          <w:spacing w:val="-3"/>
          <w:szCs w:val="24"/>
        </w:rPr>
      </w:pPr>
      <w:r w:rsidRPr="007A2C81">
        <w:rPr>
          <w:spacing w:val="-3"/>
          <w:szCs w:val="24"/>
        </w:rPr>
        <w:t xml:space="preserve">___. 2012. “On Referents and Reference Fixing”. </w:t>
      </w:r>
      <w:r w:rsidRPr="007A2C81">
        <w:rPr>
          <w:rFonts w:eastAsia="Calibri"/>
          <w:spacing w:val="-3"/>
          <w:szCs w:val="24"/>
        </w:rPr>
        <w:t>In</w:t>
      </w:r>
      <w:r w:rsidR="005C1815">
        <w:rPr>
          <w:rFonts w:eastAsia="Calibri"/>
          <w:spacing w:val="-3"/>
          <w:szCs w:val="24"/>
        </w:rPr>
        <w:t xml:space="preserve"> Richard </w:t>
      </w:r>
      <w:proofErr w:type="spellStart"/>
      <w:r w:rsidR="005C1815">
        <w:rPr>
          <w:rFonts w:eastAsia="Calibri"/>
          <w:spacing w:val="-3"/>
          <w:szCs w:val="24"/>
        </w:rPr>
        <w:t>Schantz</w:t>
      </w:r>
      <w:proofErr w:type="spellEnd"/>
      <w:r w:rsidR="005C1815" w:rsidRPr="007A2C81">
        <w:rPr>
          <w:rFonts w:eastAsia="Calibri"/>
          <w:spacing w:val="-3"/>
          <w:szCs w:val="24"/>
        </w:rPr>
        <w:t xml:space="preserve"> </w:t>
      </w:r>
      <w:r w:rsidR="005C1815">
        <w:rPr>
          <w:rFonts w:eastAsia="Calibri"/>
          <w:spacing w:val="-3"/>
          <w:szCs w:val="24"/>
        </w:rPr>
        <w:t>(</w:t>
      </w:r>
      <w:r w:rsidR="005C1815" w:rsidRPr="007A2C81">
        <w:rPr>
          <w:rFonts w:eastAsia="Calibri"/>
          <w:spacing w:val="-3"/>
          <w:szCs w:val="24"/>
        </w:rPr>
        <w:t>ed.</w:t>
      </w:r>
      <w:r w:rsidR="005C1815">
        <w:rPr>
          <w:rFonts w:eastAsia="Calibri"/>
          <w:spacing w:val="-3"/>
          <w:szCs w:val="24"/>
        </w:rPr>
        <w:t>),</w:t>
      </w:r>
      <w:r w:rsidRPr="007A2C81">
        <w:rPr>
          <w:rFonts w:eastAsia="Calibri"/>
          <w:spacing w:val="-3"/>
          <w:szCs w:val="24"/>
        </w:rPr>
        <w:t xml:space="preserve"> </w:t>
      </w:r>
      <w:r w:rsidRPr="007A2C81">
        <w:rPr>
          <w:rFonts w:eastAsia="Calibri"/>
          <w:i/>
          <w:spacing w:val="-3"/>
          <w:szCs w:val="24"/>
        </w:rPr>
        <w:t>Prospects for Meaning</w:t>
      </w:r>
      <w:r w:rsidRPr="007A2C81">
        <w:rPr>
          <w:rFonts w:eastAsia="Calibri"/>
          <w:spacing w:val="-3"/>
          <w:szCs w:val="24"/>
        </w:rPr>
        <w:t>, Berlin</w:t>
      </w:r>
      <w:r w:rsidRPr="007A2C81">
        <w:rPr>
          <w:spacing w:val="-3"/>
          <w:szCs w:val="24"/>
        </w:rPr>
        <w:t xml:space="preserve">: Walter de </w:t>
      </w:r>
      <w:proofErr w:type="spellStart"/>
      <w:r w:rsidRPr="007A2C81">
        <w:rPr>
          <w:spacing w:val="-3"/>
          <w:szCs w:val="24"/>
        </w:rPr>
        <w:t>Gruyter</w:t>
      </w:r>
      <w:proofErr w:type="spellEnd"/>
      <w:r w:rsidRPr="007A2C81">
        <w:rPr>
          <w:spacing w:val="-3"/>
          <w:szCs w:val="24"/>
        </w:rPr>
        <w:t>: 107-18</w:t>
      </w:r>
      <w:r w:rsidRPr="007A2C81">
        <w:rPr>
          <w:rFonts w:eastAsia="Calibri"/>
          <w:spacing w:val="-3"/>
          <w:szCs w:val="24"/>
        </w:rPr>
        <w:t>.</w:t>
      </w:r>
    </w:p>
    <w:p w:rsidR="007B1445" w:rsidRPr="007A2C81" w:rsidRDefault="00B5061E" w:rsidP="00513A34">
      <w:pPr>
        <w:tabs>
          <w:tab w:val="left" w:pos="-720"/>
        </w:tabs>
        <w:spacing w:line="240" w:lineRule="atLeast"/>
        <w:ind w:left="720" w:hanging="720"/>
        <w:rPr>
          <w:szCs w:val="24"/>
        </w:rPr>
      </w:pPr>
      <w:r w:rsidRPr="007A2C81">
        <w:rPr>
          <w:szCs w:val="24"/>
        </w:rPr>
        <w:t>Witteveen J</w:t>
      </w:r>
      <w:r w:rsidR="005C1815">
        <w:rPr>
          <w:szCs w:val="24"/>
        </w:rPr>
        <w:t xml:space="preserve">. </w:t>
      </w:r>
      <w:r w:rsidRPr="007A2C81">
        <w:rPr>
          <w:szCs w:val="24"/>
        </w:rPr>
        <w:t>2</w:t>
      </w:r>
      <w:r w:rsidR="005C1815">
        <w:rPr>
          <w:szCs w:val="24"/>
        </w:rPr>
        <w:t>015.</w:t>
      </w:r>
      <w:r w:rsidRPr="007A2C81">
        <w:rPr>
          <w:szCs w:val="24"/>
        </w:rPr>
        <w:t xml:space="preserve"> </w:t>
      </w:r>
      <w:r w:rsidR="005C1815">
        <w:rPr>
          <w:szCs w:val="24"/>
        </w:rPr>
        <w:t>“Naming and Contingency: T</w:t>
      </w:r>
      <w:r w:rsidR="00513A34">
        <w:rPr>
          <w:szCs w:val="24"/>
        </w:rPr>
        <w:t>he T</w:t>
      </w:r>
      <w:r w:rsidRPr="007A2C81">
        <w:rPr>
          <w:szCs w:val="24"/>
        </w:rPr>
        <w:t>y</w:t>
      </w:r>
      <w:r w:rsidR="00513A34">
        <w:rPr>
          <w:szCs w:val="24"/>
        </w:rPr>
        <w:t>pe Method of Biological T</w:t>
      </w:r>
      <w:r w:rsidRPr="007A2C81">
        <w:rPr>
          <w:szCs w:val="24"/>
        </w:rPr>
        <w:t>axonomy</w:t>
      </w:r>
      <w:r w:rsidR="00513A34">
        <w:rPr>
          <w:szCs w:val="24"/>
        </w:rPr>
        <w:t>”</w:t>
      </w:r>
      <w:r w:rsidRPr="007A2C81">
        <w:rPr>
          <w:szCs w:val="24"/>
        </w:rPr>
        <w:t xml:space="preserve">. </w:t>
      </w:r>
      <w:r w:rsidRPr="00513A34">
        <w:rPr>
          <w:i/>
          <w:szCs w:val="24"/>
        </w:rPr>
        <w:t>Biology and Philosophy</w:t>
      </w:r>
      <w:r w:rsidRPr="007A2C81">
        <w:rPr>
          <w:szCs w:val="24"/>
        </w:rPr>
        <w:t xml:space="preserve"> 30: 569–586. </w:t>
      </w:r>
      <w:proofErr w:type="spellStart"/>
      <w:r w:rsidRPr="007A2C81">
        <w:rPr>
          <w:szCs w:val="24"/>
        </w:rPr>
        <w:t>doi</w:t>
      </w:r>
      <w:proofErr w:type="spellEnd"/>
      <w:r w:rsidRPr="007A2C81">
        <w:rPr>
          <w:szCs w:val="24"/>
        </w:rPr>
        <w:t>: 101007/s10539-014-9459-6</w:t>
      </w:r>
    </w:p>
    <w:sectPr w:rsidR="007B1445" w:rsidRPr="007A2C81">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708" w:rsidRDefault="00D90708" w:rsidP="00EF6EE3">
      <w:r>
        <w:separator/>
      </w:r>
    </w:p>
  </w:endnote>
  <w:endnote w:type="continuationSeparator" w:id="0">
    <w:p w:rsidR="00D90708" w:rsidRDefault="00D90708" w:rsidP="00EF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408115"/>
      <w:docPartObj>
        <w:docPartGallery w:val="Page Numbers (Bottom of Page)"/>
        <w:docPartUnique/>
      </w:docPartObj>
    </w:sdtPr>
    <w:sdtEndPr>
      <w:rPr>
        <w:noProof/>
      </w:rPr>
    </w:sdtEndPr>
    <w:sdtContent>
      <w:p w:rsidR="00CF2EA2" w:rsidRDefault="00CF2EA2">
        <w:pPr>
          <w:pStyle w:val="Footer"/>
          <w:jc w:val="center"/>
        </w:pPr>
        <w:r>
          <w:fldChar w:fldCharType="begin"/>
        </w:r>
        <w:r>
          <w:instrText xml:space="preserve"> PAGE   \* MERGEFORMAT </w:instrText>
        </w:r>
        <w:r>
          <w:fldChar w:fldCharType="separate"/>
        </w:r>
        <w:r w:rsidR="009A009F">
          <w:rPr>
            <w:noProof/>
          </w:rPr>
          <w:t>12</w:t>
        </w:r>
        <w:r>
          <w:rPr>
            <w:noProof/>
          </w:rPr>
          <w:fldChar w:fldCharType="end"/>
        </w:r>
      </w:p>
    </w:sdtContent>
  </w:sdt>
  <w:p w:rsidR="00CF2EA2" w:rsidRDefault="00CF2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708" w:rsidRDefault="00D90708" w:rsidP="00EF6EE3">
      <w:r>
        <w:separator/>
      </w:r>
    </w:p>
  </w:footnote>
  <w:footnote w:type="continuationSeparator" w:id="0">
    <w:p w:rsidR="00D90708" w:rsidRDefault="00D90708" w:rsidP="00EF6EE3">
      <w:r>
        <w:continuationSeparator/>
      </w:r>
    </w:p>
  </w:footnote>
  <w:footnote w:id="1">
    <w:p w:rsidR="00CF2EA2" w:rsidRPr="00BE7FD0" w:rsidRDefault="00CF2EA2" w:rsidP="00EF6EE3">
      <w:pPr>
        <w:pStyle w:val="FootnoteText"/>
        <w:rPr>
          <w:sz w:val="24"/>
          <w:szCs w:val="24"/>
        </w:rPr>
      </w:pPr>
      <w:r w:rsidRPr="00BE7FD0">
        <w:rPr>
          <w:rStyle w:val="FootnoteReference"/>
          <w:sz w:val="24"/>
          <w:szCs w:val="24"/>
        </w:rPr>
        <w:footnoteRef/>
      </w:r>
      <w:r w:rsidRPr="00BE7FD0">
        <w:rPr>
          <w:sz w:val="24"/>
          <w:szCs w:val="24"/>
        </w:rPr>
        <w:t xml:space="preserve"> About half those attending </w:t>
      </w:r>
      <w:proofErr w:type="gramStart"/>
      <w:r w:rsidRPr="00BE7FD0">
        <w:rPr>
          <w:sz w:val="24"/>
          <w:szCs w:val="24"/>
        </w:rPr>
        <w:t>were</w:t>
      </w:r>
      <w:proofErr w:type="gramEnd"/>
      <w:r w:rsidRPr="00BE7FD0">
        <w:rPr>
          <w:sz w:val="24"/>
          <w:szCs w:val="24"/>
        </w:rPr>
        <w:t xml:space="preserve"> graduate students. My notes of these lectures are in the archives at the Saul Kripke Center. </w:t>
      </w:r>
    </w:p>
  </w:footnote>
  <w:footnote w:id="2">
    <w:p w:rsidR="00CF2EA2" w:rsidRPr="00BE7FD0" w:rsidRDefault="00CF2EA2">
      <w:pPr>
        <w:pStyle w:val="FootnoteText"/>
        <w:rPr>
          <w:sz w:val="24"/>
          <w:szCs w:val="24"/>
        </w:rPr>
      </w:pPr>
      <w:r w:rsidRPr="00BE7FD0">
        <w:rPr>
          <w:rStyle w:val="FootnoteReference"/>
          <w:sz w:val="24"/>
          <w:szCs w:val="24"/>
        </w:rPr>
        <w:footnoteRef/>
      </w:r>
      <w:r w:rsidRPr="00BE7FD0">
        <w:rPr>
          <w:sz w:val="24"/>
          <w:szCs w:val="24"/>
        </w:rPr>
        <w:t xml:space="preserve"> Andrea Bianchi (2020) argues that my theory of names “should…be considered as a development of the alternative causal picture offered by Donnellan” rather than of that by Kripke. I don’t think so (2020: 19.2.3). Certainly, it was Kripke who </w:t>
      </w:r>
      <w:r w:rsidRPr="002C4F5A">
        <w:rPr>
          <w:i/>
          <w:sz w:val="24"/>
          <w:szCs w:val="24"/>
        </w:rPr>
        <w:t>influenced</w:t>
      </w:r>
      <w:r w:rsidRPr="00BE7FD0">
        <w:rPr>
          <w:sz w:val="24"/>
          <w:szCs w:val="24"/>
        </w:rPr>
        <w:t xml:space="preserve"> my theory: my dissertation was virtually complete before I read Donnellan’s paper (1972) on proper names. But my view of definite descriptions (1972, 1974, 1981b, 2004) was very influenced by Donnellan (1966, 1968).</w:t>
      </w:r>
    </w:p>
  </w:footnote>
  <w:footnote w:id="3">
    <w:p w:rsidR="00CF2EA2" w:rsidRPr="00BE7FD0" w:rsidRDefault="00CF2EA2">
      <w:pPr>
        <w:pStyle w:val="FootnoteText"/>
        <w:rPr>
          <w:sz w:val="24"/>
          <w:szCs w:val="24"/>
        </w:rPr>
      </w:pPr>
      <w:r w:rsidRPr="00BE7FD0">
        <w:rPr>
          <w:rStyle w:val="FootnoteReference"/>
          <w:sz w:val="24"/>
          <w:szCs w:val="24"/>
        </w:rPr>
        <w:footnoteRef/>
      </w:r>
      <w:r w:rsidRPr="00BE7FD0">
        <w:rPr>
          <w:sz w:val="24"/>
          <w:szCs w:val="24"/>
        </w:rPr>
        <w:t xml:space="preserve"> So I shall not be discussing </w:t>
      </w:r>
      <w:proofErr w:type="spellStart"/>
      <w:r w:rsidRPr="00BE7FD0">
        <w:rPr>
          <w:sz w:val="24"/>
          <w:szCs w:val="24"/>
        </w:rPr>
        <w:t>Kripke’s</w:t>
      </w:r>
      <w:proofErr w:type="spellEnd"/>
      <w:r w:rsidRPr="00BE7FD0">
        <w:rPr>
          <w:sz w:val="24"/>
          <w:szCs w:val="24"/>
        </w:rPr>
        <w:t xml:space="preserve"> vivid demonstration of the importance of distinguishing what is necessary from what is (allegedly) known a priori. I take it that this importance is now generally accepted.</w:t>
      </w:r>
    </w:p>
  </w:footnote>
  <w:footnote w:id="4">
    <w:p w:rsidR="00CF2EA2" w:rsidRPr="00BE7FD0" w:rsidRDefault="00CF2EA2">
      <w:pPr>
        <w:pStyle w:val="FootnoteText"/>
        <w:rPr>
          <w:sz w:val="24"/>
          <w:szCs w:val="24"/>
        </w:rPr>
      </w:pPr>
      <w:r w:rsidRPr="00BE7FD0">
        <w:rPr>
          <w:rStyle w:val="FootnoteReference"/>
          <w:sz w:val="24"/>
          <w:szCs w:val="24"/>
        </w:rPr>
        <w:footnoteRef/>
      </w:r>
      <w:r w:rsidRPr="00BE7FD0">
        <w:rPr>
          <w:sz w:val="24"/>
          <w:szCs w:val="24"/>
        </w:rPr>
        <w:t xml:space="preserve"> All such unexplained citations are to </w:t>
      </w:r>
      <w:r w:rsidRPr="00BE7FD0">
        <w:rPr>
          <w:i/>
          <w:sz w:val="24"/>
          <w:szCs w:val="24"/>
        </w:rPr>
        <w:t>Naming and Necessity</w:t>
      </w:r>
      <w:r w:rsidRPr="00BE7FD0">
        <w:rPr>
          <w:sz w:val="24"/>
          <w:szCs w:val="24"/>
        </w:rPr>
        <w:t>.</w:t>
      </w:r>
    </w:p>
  </w:footnote>
  <w:footnote w:id="5">
    <w:p w:rsidR="00CF2EA2" w:rsidRPr="00BE7FD0" w:rsidRDefault="00CF2EA2" w:rsidP="0001174F">
      <w:pPr>
        <w:pStyle w:val="FootnoteText"/>
        <w:rPr>
          <w:sz w:val="24"/>
          <w:szCs w:val="24"/>
        </w:rPr>
      </w:pPr>
      <w:r w:rsidRPr="00BE7FD0">
        <w:rPr>
          <w:rStyle w:val="FootnoteReference"/>
          <w:sz w:val="24"/>
          <w:szCs w:val="24"/>
        </w:rPr>
        <w:footnoteRef/>
      </w:r>
      <w:r w:rsidRPr="00BE7FD0">
        <w:rPr>
          <w:sz w:val="24"/>
          <w:szCs w:val="24"/>
        </w:rPr>
        <w:t xml:space="preserve"> The Unwanted Necessity argument against th</w:t>
      </w:r>
      <w:r w:rsidR="00C22BEB">
        <w:rPr>
          <w:sz w:val="24"/>
          <w:szCs w:val="24"/>
        </w:rPr>
        <w:t>e modern “cluster” description</w:t>
      </w:r>
      <w:r w:rsidRPr="00BE7FD0">
        <w:rPr>
          <w:sz w:val="24"/>
          <w:szCs w:val="24"/>
        </w:rPr>
        <w:t xml:space="preserve"> theory was novel but the one against the classical theory was already familiar and was one of the motivations for the cluster theory; see Searle 1958. The familiar problem for the classical theory was that any single description we associate with, say, ‘Aristotle’ picks out a property that Aristotle might not have had. </w:t>
      </w:r>
      <w:proofErr w:type="spellStart"/>
      <w:r w:rsidRPr="00BE7FD0">
        <w:rPr>
          <w:sz w:val="24"/>
          <w:szCs w:val="24"/>
        </w:rPr>
        <w:t>Kripke’s</w:t>
      </w:r>
      <w:proofErr w:type="spellEnd"/>
      <w:r w:rsidRPr="00BE7FD0">
        <w:rPr>
          <w:sz w:val="24"/>
          <w:szCs w:val="24"/>
        </w:rPr>
        <w:t xml:space="preserve"> novel point against the cluster theory was: “Most of the things commonly attributed to Aristotle are things that Aristotle might not have done” (61).</w:t>
      </w:r>
    </w:p>
  </w:footnote>
  <w:footnote w:id="6">
    <w:p w:rsidR="00CF2EA2" w:rsidRPr="00BE7FD0" w:rsidRDefault="00CF2EA2">
      <w:pPr>
        <w:pStyle w:val="FootnoteText"/>
        <w:rPr>
          <w:sz w:val="24"/>
          <w:szCs w:val="24"/>
        </w:rPr>
      </w:pPr>
      <w:r w:rsidRPr="00BE7FD0">
        <w:rPr>
          <w:rStyle w:val="FootnoteReference"/>
          <w:sz w:val="24"/>
          <w:szCs w:val="24"/>
        </w:rPr>
        <w:footnoteRef/>
      </w:r>
      <w:r w:rsidRPr="00BE7FD0">
        <w:rPr>
          <w:sz w:val="24"/>
          <w:szCs w:val="24"/>
        </w:rPr>
        <w:t xml:space="preserve"> So it is a pity that </w:t>
      </w:r>
      <w:proofErr w:type="spellStart"/>
      <w:r w:rsidRPr="00BE7FD0">
        <w:rPr>
          <w:sz w:val="24"/>
          <w:szCs w:val="24"/>
        </w:rPr>
        <w:t>Kripke’s</w:t>
      </w:r>
      <w:proofErr w:type="spellEnd"/>
      <w:r w:rsidRPr="00BE7FD0">
        <w:rPr>
          <w:sz w:val="24"/>
          <w:szCs w:val="24"/>
        </w:rPr>
        <w:t xml:space="preserve"> critics, for example Machery et al (2004), have tended to focus on the </w:t>
      </w:r>
      <w:r w:rsidRPr="00BE7FD0">
        <w:rPr>
          <w:spacing w:val="-3"/>
          <w:sz w:val="24"/>
          <w:szCs w:val="24"/>
        </w:rPr>
        <w:t>Gödel case: “intuitions about the humdrum cases play a much more important role” in the Ignorance and Error argument (Devitt 2011b: 421).</w:t>
      </w:r>
    </w:p>
  </w:footnote>
  <w:footnote w:id="7">
    <w:p w:rsidR="00CF2EA2" w:rsidRPr="00BE7FD0" w:rsidRDefault="00CF2EA2" w:rsidP="000775F5">
      <w:pPr>
        <w:pStyle w:val="FootnoteText"/>
        <w:jc w:val="both"/>
        <w:rPr>
          <w:sz w:val="24"/>
          <w:szCs w:val="24"/>
        </w:rPr>
      </w:pPr>
      <w:r w:rsidRPr="00BE7FD0">
        <w:rPr>
          <w:rStyle w:val="FootnoteReference"/>
          <w:sz w:val="24"/>
          <w:szCs w:val="24"/>
        </w:rPr>
        <w:footnoteRef/>
      </w:r>
      <w:r w:rsidRPr="00BE7FD0">
        <w:rPr>
          <w:sz w:val="24"/>
          <w:szCs w:val="24"/>
        </w:rPr>
        <w:t xml:space="preserve"> Donnellan has a nice example that shows just how easy it is to come up with humdrum cases. A child is gotten up from sleep at a party and introduced to a person called ‘Tom’. “Later the child says to his parents, ‘Tom is a nice man’…nothing the child possesses in the way of descriptions, dispositions to recognize, serves to pick out in the standard way anybody uniquely” (1972: 364). Yet the child is talking about that very person he was introduced to.</w:t>
      </w:r>
    </w:p>
  </w:footnote>
  <w:footnote w:id="8">
    <w:p w:rsidR="00CF2EA2" w:rsidRPr="00BE7FD0" w:rsidRDefault="00CF2EA2">
      <w:pPr>
        <w:pStyle w:val="FootnoteText"/>
        <w:rPr>
          <w:sz w:val="24"/>
          <w:szCs w:val="24"/>
        </w:rPr>
      </w:pPr>
      <w:r w:rsidRPr="00BE7FD0">
        <w:rPr>
          <w:rStyle w:val="FootnoteReference"/>
          <w:sz w:val="24"/>
          <w:szCs w:val="24"/>
        </w:rPr>
        <w:footnoteRef/>
      </w:r>
      <w:r w:rsidRPr="00BE7FD0">
        <w:rPr>
          <w:sz w:val="24"/>
          <w:szCs w:val="24"/>
        </w:rPr>
        <w:t xml:space="preserve"> And these intuitions have recently been confirmed in experimental tests of usage; see </w:t>
      </w:r>
      <w:proofErr w:type="spellStart"/>
      <w:r w:rsidRPr="00BE7FD0">
        <w:rPr>
          <w:sz w:val="24"/>
          <w:szCs w:val="24"/>
        </w:rPr>
        <w:t>Domaneschi</w:t>
      </w:r>
      <w:proofErr w:type="spellEnd"/>
      <w:r w:rsidRPr="00BE7FD0">
        <w:rPr>
          <w:sz w:val="24"/>
          <w:szCs w:val="24"/>
        </w:rPr>
        <w:t xml:space="preserve"> et al (2017), Devitt and Porot (2018).</w:t>
      </w:r>
    </w:p>
  </w:footnote>
  <w:footnote w:id="9">
    <w:p w:rsidR="00CF2EA2" w:rsidRPr="00BE7FD0" w:rsidRDefault="00CF2EA2" w:rsidP="007F1F18">
      <w:pPr>
        <w:pStyle w:val="FootnoteText"/>
        <w:rPr>
          <w:sz w:val="24"/>
          <w:szCs w:val="24"/>
        </w:rPr>
      </w:pPr>
      <w:r w:rsidRPr="00BE7FD0">
        <w:rPr>
          <w:rStyle w:val="FootnoteReference"/>
          <w:sz w:val="24"/>
          <w:szCs w:val="24"/>
        </w:rPr>
        <w:footnoteRef/>
      </w:r>
      <w:r w:rsidRPr="00BE7FD0">
        <w:rPr>
          <w:sz w:val="24"/>
          <w:szCs w:val="24"/>
        </w:rPr>
        <w:t xml:space="preserve"> I first heard of causal descriptivism from Robert </w:t>
      </w:r>
      <w:proofErr w:type="spellStart"/>
      <w:r w:rsidRPr="00BE7FD0">
        <w:rPr>
          <w:sz w:val="24"/>
          <w:szCs w:val="24"/>
        </w:rPr>
        <w:t>Nozick</w:t>
      </w:r>
      <w:proofErr w:type="spellEnd"/>
      <w:r w:rsidRPr="00BE7FD0">
        <w:rPr>
          <w:sz w:val="24"/>
          <w:szCs w:val="24"/>
        </w:rPr>
        <w:t xml:space="preserve"> at Harvard in 1970 in response to my graduate student talk proposing a causal theory. Kripke (88 n. 38) also first heard the theory from </w:t>
      </w:r>
      <w:proofErr w:type="spellStart"/>
      <w:r w:rsidRPr="00BE7FD0">
        <w:rPr>
          <w:sz w:val="24"/>
          <w:szCs w:val="24"/>
        </w:rPr>
        <w:t>Nozick</w:t>
      </w:r>
      <w:proofErr w:type="spellEnd"/>
      <w:r w:rsidRPr="00BE7FD0">
        <w:rPr>
          <w:sz w:val="24"/>
          <w:szCs w:val="24"/>
        </w:rPr>
        <w:t xml:space="preserve">. </w:t>
      </w:r>
    </w:p>
  </w:footnote>
  <w:footnote w:id="10">
    <w:p w:rsidR="00CF2EA2" w:rsidRPr="00BE7FD0" w:rsidRDefault="00CF2EA2" w:rsidP="007F1F18">
      <w:pPr>
        <w:pStyle w:val="FootnoteText"/>
        <w:rPr>
          <w:sz w:val="24"/>
          <w:szCs w:val="24"/>
        </w:rPr>
      </w:pPr>
      <w:r w:rsidRPr="00BE7FD0">
        <w:rPr>
          <w:rStyle w:val="FootnoteReference"/>
          <w:sz w:val="24"/>
          <w:szCs w:val="24"/>
        </w:rPr>
        <w:footnoteRef/>
      </w:r>
      <w:r w:rsidRPr="00BE7FD0">
        <w:rPr>
          <w:sz w:val="24"/>
          <w:szCs w:val="24"/>
        </w:rPr>
        <w:t xml:space="preserve"> Jackson (2020) is unimpressed with this objection. I have responded (2020: 19.2.5.1).</w:t>
      </w:r>
    </w:p>
  </w:footnote>
  <w:footnote w:id="11">
    <w:p w:rsidR="00CF2EA2" w:rsidRPr="00BE7FD0" w:rsidRDefault="00CF2EA2">
      <w:pPr>
        <w:pStyle w:val="FootnoteText"/>
        <w:rPr>
          <w:sz w:val="24"/>
          <w:szCs w:val="24"/>
        </w:rPr>
      </w:pPr>
      <w:r w:rsidRPr="00BE7FD0">
        <w:rPr>
          <w:rStyle w:val="FootnoteReference"/>
          <w:sz w:val="24"/>
          <w:szCs w:val="24"/>
        </w:rPr>
        <w:footnoteRef/>
      </w:r>
      <w:r w:rsidRPr="00BE7FD0">
        <w:rPr>
          <w:sz w:val="24"/>
          <w:szCs w:val="24"/>
        </w:rPr>
        <w:t xml:space="preserve"> Thus, Ignorance and Error, along with Kripke, Donnellan, and Putnam, go unmentioned in the comprehensive discussion of the lexicon in </w:t>
      </w:r>
      <w:proofErr w:type="spellStart"/>
      <w:r w:rsidRPr="00BE7FD0">
        <w:rPr>
          <w:sz w:val="24"/>
          <w:szCs w:val="24"/>
        </w:rPr>
        <w:t>Pustejovsky</w:t>
      </w:r>
      <w:proofErr w:type="spellEnd"/>
      <w:r w:rsidRPr="00BE7FD0">
        <w:rPr>
          <w:sz w:val="24"/>
          <w:szCs w:val="24"/>
        </w:rPr>
        <w:t xml:space="preserve"> (1995).</w:t>
      </w:r>
    </w:p>
  </w:footnote>
  <w:footnote w:id="12">
    <w:p w:rsidR="00CF2EA2" w:rsidRPr="00BE7FD0" w:rsidRDefault="00CF2EA2">
      <w:pPr>
        <w:pStyle w:val="FootnoteText"/>
        <w:rPr>
          <w:sz w:val="24"/>
          <w:szCs w:val="24"/>
        </w:rPr>
      </w:pPr>
      <w:r w:rsidRPr="00BE7FD0">
        <w:rPr>
          <w:rStyle w:val="FootnoteReference"/>
          <w:sz w:val="24"/>
          <w:szCs w:val="24"/>
        </w:rPr>
        <w:footnoteRef/>
      </w:r>
      <w:r w:rsidRPr="00BE7FD0">
        <w:rPr>
          <w:sz w:val="24"/>
          <w:szCs w:val="24"/>
        </w:rPr>
        <w:t xml:space="preserve"> I urge (1974, 1981a, 2015) a more brute-causal and less intellectualized account of this borrowing.</w:t>
      </w:r>
    </w:p>
  </w:footnote>
  <w:footnote w:id="13">
    <w:p w:rsidR="00CF2EA2" w:rsidRPr="00BE7FD0" w:rsidRDefault="00CF2EA2" w:rsidP="00000B15">
      <w:pPr>
        <w:pStyle w:val="FootnoteText"/>
        <w:rPr>
          <w:sz w:val="24"/>
          <w:szCs w:val="24"/>
        </w:rPr>
      </w:pPr>
      <w:r w:rsidRPr="00BE7FD0">
        <w:rPr>
          <w:rStyle w:val="FootnoteReference"/>
          <w:sz w:val="24"/>
          <w:szCs w:val="24"/>
        </w:rPr>
        <w:footnoteRef/>
      </w:r>
      <w:r w:rsidRPr="00BE7FD0">
        <w:rPr>
          <w:sz w:val="24"/>
          <w:szCs w:val="24"/>
        </w:rPr>
        <w:t xml:space="preserve"> The first example of this misunderstanding that I know of is by Michael </w:t>
      </w:r>
      <w:proofErr w:type="spellStart"/>
      <w:r w:rsidRPr="00BE7FD0">
        <w:rPr>
          <w:sz w:val="24"/>
          <w:szCs w:val="24"/>
        </w:rPr>
        <w:t>Dummett</w:t>
      </w:r>
      <w:proofErr w:type="spellEnd"/>
      <w:r w:rsidRPr="00BE7FD0">
        <w:rPr>
          <w:sz w:val="24"/>
          <w:szCs w:val="24"/>
        </w:rPr>
        <w:t xml:space="preserve"> (1973: 147-51).</w:t>
      </w:r>
    </w:p>
  </w:footnote>
  <w:footnote w:id="14">
    <w:p w:rsidR="00CF2EA2" w:rsidRPr="00BE7FD0" w:rsidRDefault="00CF2EA2" w:rsidP="00000B15">
      <w:pPr>
        <w:pStyle w:val="FootnoteText"/>
        <w:rPr>
          <w:sz w:val="24"/>
          <w:szCs w:val="24"/>
        </w:rPr>
      </w:pPr>
      <w:r w:rsidRPr="00BE7FD0">
        <w:rPr>
          <w:rStyle w:val="FootnoteReference"/>
          <w:sz w:val="24"/>
          <w:szCs w:val="24"/>
        </w:rPr>
        <w:footnoteRef/>
      </w:r>
      <w:r w:rsidRPr="00BE7FD0">
        <w:rPr>
          <w:sz w:val="24"/>
          <w:szCs w:val="24"/>
        </w:rPr>
        <w:t xml:space="preserve"> Keith Donnellan’s proposal, similar to </w:t>
      </w:r>
      <w:proofErr w:type="spellStart"/>
      <w:r w:rsidRPr="00BE7FD0">
        <w:rPr>
          <w:sz w:val="24"/>
          <w:szCs w:val="24"/>
        </w:rPr>
        <w:t>Kripke’s</w:t>
      </w:r>
      <w:proofErr w:type="spellEnd"/>
      <w:r w:rsidRPr="00BE7FD0">
        <w:rPr>
          <w:sz w:val="24"/>
          <w:szCs w:val="24"/>
        </w:rPr>
        <w:t xml:space="preserve"> (</w:t>
      </w:r>
      <w:r w:rsidRPr="00BE7FD0">
        <w:rPr>
          <w:i/>
          <w:sz w:val="24"/>
          <w:szCs w:val="24"/>
        </w:rPr>
        <w:t>pace</w:t>
      </w:r>
      <w:r w:rsidRPr="00BE7FD0">
        <w:rPr>
          <w:sz w:val="24"/>
          <w:szCs w:val="24"/>
        </w:rPr>
        <w:t xml:space="preserve"> Bianchi and </w:t>
      </w:r>
      <w:proofErr w:type="spellStart"/>
      <w:r w:rsidRPr="00BE7FD0">
        <w:rPr>
          <w:sz w:val="24"/>
          <w:szCs w:val="24"/>
        </w:rPr>
        <w:t>Bonanini</w:t>
      </w:r>
      <w:proofErr w:type="spellEnd"/>
      <w:r w:rsidRPr="00BE7FD0">
        <w:rPr>
          <w:sz w:val="24"/>
          <w:szCs w:val="24"/>
        </w:rPr>
        <w:t xml:space="preserve"> 2014), does not</w:t>
      </w:r>
      <w:r w:rsidRPr="00BE7FD0">
        <w:rPr>
          <w:rFonts w:eastAsia="Calibri"/>
          <w:sz w:val="24"/>
          <w:szCs w:val="24"/>
        </w:rPr>
        <w:t xml:space="preserve"> require a backward-looking intention either. Did any “causal theorist” require it? (1) Perhaps Putnam did in his discussion of the “division of linguistic labor”. His introduction of this idea does not suggest the requirement (1973: 705) but his later discussions might be seen to: “my denotation may be, by general consent, the denotation assigned by persons distant from me in space and even in time, but linked to me by relations of cooperation”; he thinks he is thus “giving up my right to be the authority on the denotation of my own words” (1975: 274); “speakers defer to experts for the fixing of reference in a huge number of cases” (1978: 114). (2) It rather looks as if Kaplan did. He talks of the (non-creative) use of a proper name being associated with “the intention to use the word with the meaning given it by the person from whom you learned the word”. His subsequent talk of “one who uses a proper name with [this] intention” (1989a: 559) implies that the intention accompanies each use rather than simply being present at the time of learning.</w:t>
      </w:r>
    </w:p>
  </w:footnote>
  <w:footnote w:id="15">
    <w:p w:rsidR="00CF2EA2" w:rsidRPr="00BE7FD0" w:rsidRDefault="00CF2EA2" w:rsidP="00C82151">
      <w:pPr>
        <w:pStyle w:val="FootnoteText"/>
        <w:rPr>
          <w:sz w:val="24"/>
          <w:szCs w:val="24"/>
        </w:rPr>
      </w:pPr>
      <w:r w:rsidRPr="00BE7FD0">
        <w:rPr>
          <w:rStyle w:val="FootnoteReference"/>
          <w:sz w:val="24"/>
          <w:szCs w:val="24"/>
        </w:rPr>
        <w:footnoteRef/>
      </w:r>
      <w:r w:rsidRPr="00BE7FD0">
        <w:rPr>
          <w:sz w:val="24"/>
          <w:szCs w:val="24"/>
        </w:rPr>
        <w:t xml:space="preserve"> Where did this talk of “deference” come from? </w:t>
      </w:r>
      <w:r w:rsidRPr="00BE7FD0">
        <w:rPr>
          <w:rFonts w:eastAsia="Calibri"/>
          <w:sz w:val="24"/>
          <w:szCs w:val="24"/>
        </w:rPr>
        <w:t xml:space="preserve">The first such talk in this context seems to have been by Gareth Evans (1973: 205-6) in the process of </w:t>
      </w:r>
      <w:r w:rsidRPr="00BE7FD0">
        <w:rPr>
          <w:rFonts w:eastAsia="Calibri"/>
          <w:i/>
          <w:sz w:val="24"/>
          <w:szCs w:val="24"/>
        </w:rPr>
        <w:t>criticizing</w:t>
      </w:r>
      <w:r w:rsidRPr="00BE7FD0">
        <w:rPr>
          <w:rFonts w:eastAsia="Calibri"/>
          <w:sz w:val="24"/>
          <w:szCs w:val="24"/>
        </w:rPr>
        <w:t xml:space="preserve"> the causal theory and presenting his own.</w:t>
      </w:r>
    </w:p>
  </w:footnote>
  <w:footnote w:id="16">
    <w:p w:rsidR="00CF2EA2" w:rsidRPr="00BE7FD0" w:rsidRDefault="00CF2EA2">
      <w:pPr>
        <w:pStyle w:val="FootnoteText"/>
        <w:rPr>
          <w:sz w:val="24"/>
          <w:szCs w:val="24"/>
        </w:rPr>
      </w:pPr>
      <w:r w:rsidRPr="00BE7FD0">
        <w:rPr>
          <w:rStyle w:val="FootnoteReference"/>
          <w:sz w:val="24"/>
          <w:szCs w:val="24"/>
        </w:rPr>
        <w:footnoteRef/>
      </w:r>
      <w:r w:rsidRPr="00BE7FD0">
        <w:rPr>
          <w:sz w:val="24"/>
          <w:szCs w:val="24"/>
        </w:rPr>
        <w:t xml:space="preserve"> See Devitt (2015: 116-8) for a recent development of this idea.</w:t>
      </w:r>
    </w:p>
  </w:footnote>
  <w:footnote w:id="17">
    <w:p w:rsidR="00CF2EA2" w:rsidRPr="00BE7FD0" w:rsidRDefault="00CF2EA2">
      <w:pPr>
        <w:pStyle w:val="FootnoteText"/>
        <w:rPr>
          <w:sz w:val="24"/>
          <w:szCs w:val="24"/>
        </w:rPr>
      </w:pPr>
      <w:r w:rsidRPr="00BE7FD0">
        <w:rPr>
          <w:rStyle w:val="FootnoteReference"/>
          <w:sz w:val="24"/>
          <w:szCs w:val="24"/>
        </w:rPr>
        <w:footnoteRef/>
      </w:r>
      <w:r w:rsidRPr="00BE7FD0">
        <w:rPr>
          <w:sz w:val="24"/>
          <w:szCs w:val="24"/>
        </w:rPr>
        <w:t xml:space="preserve"> The practice of basing theories of reference on the referential intuitions of philosophers has been severely criticized by some “experimental philosophers”, Machery et al (2004). This led to a lively debate including, </w:t>
      </w:r>
      <w:r w:rsidRPr="00BE7FD0">
        <w:rPr>
          <w:i/>
          <w:sz w:val="24"/>
          <w:szCs w:val="24"/>
        </w:rPr>
        <w:t>inter alia</w:t>
      </w:r>
      <w:r w:rsidRPr="00BE7FD0">
        <w:rPr>
          <w:sz w:val="24"/>
          <w:szCs w:val="24"/>
        </w:rPr>
        <w:t xml:space="preserve">: Ludwig (2007); </w:t>
      </w:r>
      <w:proofErr w:type="spellStart"/>
      <w:r w:rsidRPr="00BE7FD0">
        <w:rPr>
          <w:sz w:val="24"/>
          <w:szCs w:val="24"/>
        </w:rPr>
        <w:t>Martí</w:t>
      </w:r>
      <w:proofErr w:type="spellEnd"/>
      <w:r w:rsidRPr="00BE7FD0">
        <w:rPr>
          <w:sz w:val="24"/>
          <w:szCs w:val="24"/>
        </w:rPr>
        <w:t xml:space="preserve"> (2009, 2012);</w:t>
      </w:r>
      <w:r w:rsidRPr="00BE7FD0">
        <w:rPr>
          <w:spacing w:val="-3"/>
          <w:sz w:val="24"/>
          <w:szCs w:val="24"/>
        </w:rPr>
        <w:t xml:space="preserve"> Machery et al (2009); Weinberg et al (2010);</w:t>
      </w:r>
      <w:r w:rsidRPr="00BE7FD0">
        <w:rPr>
          <w:sz w:val="24"/>
          <w:szCs w:val="24"/>
        </w:rPr>
        <w:t xml:space="preserve"> Devitt (2011b. 2012</w:t>
      </w:r>
      <w:proofErr w:type="gramStart"/>
      <w:r w:rsidRPr="00BE7FD0">
        <w:rPr>
          <w:sz w:val="24"/>
          <w:szCs w:val="24"/>
        </w:rPr>
        <w:t>a,b</w:t>
      </w:r>
      <w:proofErr w:type="gramEnd"/>
      <w:r w:rsidRPr="00BE7FD0">
        <w:rPr>
          <w:sz w:val="24"/>
          <w:szCs w:val="24"/>
        </w:rPr>
        <w:t xml:space="preserve">); </w:t>
      </w:r>
      <w:r w:rsidRPr="00BE7FD0">
        <w:rPr>
          <w:sz w:val="24"/>
          <w:szCs w:val="24"/>
          <w:lang w:bidi="en-US"/>
        </w:rPr>
        <w:t xml:space="preserve">Sytsma &amp; </w:t>
      </w:r>
      <w:proofErr w:type="spellStart"/>
      <w:r w:rsidRPr="00BE7FD0">
        <w:rPr>
          <w:sz w:val="24"/>
          <w:szCs w:val="24"/>
          <w:lang w:bidi="en-US"/>
        </w:rPr>
        <w:t>Livengood</w:t>
      </w:r>
      <w:proofErr w:type="spellEnd"/>
      <w:r w:rsidRPr="00BE7FD0">
        <w:rPr>
          <w:sz w:val="24"/>
          <w:szCs w:val="24"/>
          <w:lang w:bidi="en-US"/>
        </w:rPr>
        <w:t xml:space="preserve"> (2011);</w:t>
      </w:r>
      <w:r w:rsidRPr="00BE7FD0">
        <w:rPr>
          <w:sz w:val="24"/>
          <w:szCs w:val="24"/>
        </w:rPr>
        <w:t xml:space="preserve"> Ichikawa et al (2012); </w:t>
      </w:r>
      <w:r w:rsidRPr="00BE7FD0">
        <w:rPr>
          <w:spacing w:val="-3"/>
          <w:sz w:val="24"/>
          <w:szCs w:val="24"/>
        </w:rPr>
        <w:t>Machery &amp; Stich (2012); Machery (2012a,b); Machery et al (2013).</w:t>
      </w:r>
    </w:p>
  </w:footnote>
  <w:footnote w:id="18">
    <w:p w:rsidR="00CF2EA2" w:rsidRPr="00BE7FD0" w:rsidRDefault="00CF2EA2" w:rsidP="002A4DE9">
      <w:pPr>
        <w:pStyle w:val="FootnoteText"/>
        <w:rPr>
          <w:sz w:val="24"/>
          <w:szCs w:val="24"/>
        </w:rPr>
      </w:pPr>
      <w:r w:rsidRPr="00BE7FD0">
        <w:rPr>
          <w:rStyle w:val="FootnoteReference"/>
          <w:sz w:val="24"/>
          <w:szCs w:val="24"/>
        </w:rPr>
        <w:footnoteRef/>
      </w:r>
      <w:r w:rsidRPr="00BE7FD0">
        <w:rPr>
          <w:sz w:val="24"/>
          <w:szCs w:val="24"/>
        </w:rPr>
        <w:t xml:space="preserve"> And that is Hilary Putnam’s view: “even in externalist theories of reference descriptions play a key role: the original </w:t>
      </w:r>
      <w:proofErr w:type="spellStart"/>
      <w:r w:rsidRPr="00BE7FD0">
        <w:rPr>
          <w:sz w:val="24"/>
          <w:szCs w:val="24"/>
        </w:rPr>
        <w:t>dubber</w:t>
      </w:r>
      <w:proofErr w:type="spellEnd"/>
      <w:r w:rsidRPr="00BE7FD0">
        <w:rPr>
          <w:sz w:val="24"/>
          <w:szCs w:val="24"/>
        </w:rPr>
        <w:t xml:space="preserve"> or </w:t>
      </w:r>
      <w:proofErr w:type="spellStart"/>
      <w:r w:rsidRPr="00BE7FD0">
        <w:rPr>
          <w:sz w:val="24"/>
          <w:szCs w:val="24"/>
        </w:rPr>
        <w:t>dubbers</w:t>
      </w:r>
      <w:proofErr w:type="spellEnd"/>
      <w:r w:rsidRPr="00BE7FD0">
        <w:rPr>
          <w:sz w:val="24"/>
          <w:szCs w:val="24"/>
        </w:rPr>
        <w:t xml:space="preserve"> identify or have the capacity to identify what they are talking about by definite descriptions” (2001: 496-7).</w:t>
      </w:r>
    </w:p>
  </w:footnote>
  <w:footnote w:id="19">
    <w:p w:rsidR="00CF2EA2" w:rsidRPr="00BE7FD0" w:rsidRDefault="00CF2EA2" w:rsidP="006A5855">
      <w:pPr>
        <w:pStyle w:val="FootnoteText"/>
        <w:rPr>
          <w:sz w:val="24"/>
          <w:szCs w:val="24"/>
        </w:rPr>
      </w:pPr>
      <w:r w:rsidRPr="00BE7FD0">
        <w:rPr>
          <w:rStyle w:val="FootnoteReference"/>
          <w:sz w:val="24"/>
          <w:szCs w:val="24"/>
        </w:rPr>
        <w:footnoteRef/>
      </w:r>
      <w:r w:rsidRPr="00BE7FD0">
        <w:rPr>
          <w:sz w:val="24"/>
          <w:szCs w:val="24"/>
        </w:rPr>
        <w:t xml:space="preserve"> These have to be treated differently in my view (1974: 195-6; 1981a: 40-1; 2015: 124-5, 135-8).</w:t>
      </w:r>
    </w:p>
  </w:footnote>
  <w:footnote w:id="20">
    <w:p w:rsidR="00CF2EA2" w:rsidRPr="00BE7FD0" w:rsidRDefault="00CF2EA2">
      <w:pPr>
        <w:pStyle w:val="FootnoteText"/>
        <w:rPr>
          <w:sz w:val="24"/>
          <w:szCs w:val="24"/>
        </w:rPr>
      </w:pPr>
      <w:r w:rsidRPr="00BE7FD0">
        <w:rPr>
          <w:rStyle w:val="FootnoteReference"/>
          <w:sz w:val="24"/>
          <w:szCs w:val="24"/>
        </w:rPr>
        <w:footnoteRef/>
      </w:r>
      <w:r w:rsidRPr="00BE7FD0">
        <w:rPr>
          <w:sz w:val="24"/>
          <w:szCs w:val="24"/>
        </w:rPr>
        <w:t xml:space="preserve"> A different story is obviously needed for the names of abstract objects like numbers. </w:t>
      </w:r>
    </w:p>
  </w:footnote>
  <w:footnote w:id="21">
    <w:p w:rsidR="00CF2EA2" w:rsidRPr="00BE7FD0" w:rsidRDefault="00CF2EA2">
      <w:pPr>
        <w:pStyle w:val="FootnoteText"/>
        <w:rPr>
          <w:sz w:val="24"/>
          <w:szCs w:val="24"/>
        </w:rPr>
      </w:pPr>
      <w:r w:rsidRPr="00BE7FD0">
        <w:rPr>
          <w:rStyle w:val="FootnoteReference"/>
          <w:sz w:val="24"/>
          <w:szCs w:val="24"/>
        </w:rPr>
        <w:footnoteRef/>
      </w:r>
      <w:r w:rsidRPr="00BE7FD0">
        <w:rPr>
          <w:sz w:val="24"/>
          <w:szCs w:val="24"/>
        </w:rPr>
        <w:t xml:space="preserve"> Names are typically </w:t>
      </w:r>
      <w:r w:rsidRPr="00BE7FD0">
        <w:rPr>
          <w:i/>
          <w:sz w:val="24"/>
          <w:szCs w:val="24"/>
        </w:rPr>
        <w:t>multiply grounded</w:t>
      </w:r>
      <w:r w:rsidRPr="00BE7FD0">
        <w:rPr>
          <w:sz w:val="24"/>
          <w:szCs w:val="24"/>
        </w:rPr>
        <w:t xml:space="preserve"> in their bearers (1974: 198). This enables a causal-historical theory to explain reference </w:t>
      </w:r>
      <w:r w:rsidRPr="00BE7FD0">
        <w:rPr>
          <w:i/>
          <w:sz w:val="24"/>
          <w:szCs w:val="24"/>
        </w:rPr>
        <w:t>change</w:t>
      </w:r>
      <w:r w:rsidRPr="00BE7FD0">
        <w:rPr>
          <w:sz w:val="24"/>
          <w:szCs w:val="24"/>
        </w:rPr>
        <w:t xml:space="preserve">, as in Gareth Evans’ famous example of ‘Madagascar’. In brief, the reference of a name changes from </w:t>
      </w:r>
      <w:r w:rsidRPr="00BE7FD0">
        <w:rPr>
          <w:i/>
          <w:sz w:val="24"/>
          <w:szCs w:val="24"/>
        </w:rPr>
        <w:t>x</w:t>
      </w:r>
      <w:r w:rsidRPr="00BE7FD0">
        <w:rPr>
          <w:sz w:val="24"/>
          <w:szCs w:val="24"/>
        </w:rPr>
        <w:t xml:space="preserve"> </w:t>
      </w:r>
      <w:proofErr w:type="spellStart"/>
      <w:r w:rsidRPr="00BE7FD0">
        <w:rPr>
          <w:sz w:val="24"/>
          <w:szCs w:val="24"/>
        </w:rPr>
        <w:t xml:space="preserve">to </w:t>
      </w:r>
      <w:r w:rsidRPr="00BE7FD0">
        <w:rPr>
          <w:i/>
          <w:sz w:val="24"/>
          <w:szCs w:val="24"/>
        </w:rPr>
        <w:t>y</w:t>
      </w:r>
      <w:proofErr w:type="spellEnd"/>
      <w:r w:rsidRPr="00BE7FD0">
        <w:rPr>
          <w:sz w:val="24"/>
          <w:szCs w:val="24"/>
        </w:rPr>
        <w:t xml:space="preserve"> when the pattern of its groundings changes from being in </w:t>
      </w:r>
      <w:r w:rsidRPr="00BE7FD0">
        <w:rPr>
          <w:i/>
          <w:sz w:val="24"/>
          <w:szCs w:val="24"/>
        </w:rPr>
        <w:t>x</w:t>
      </w:r>
      <w:r w:rsidRPr="00BE7FD0">
        <w:rPr>
          <w:sz w:val="24"/>
          <w:szCs w:val="24"/>
        </w:rPr>
        <w:t xml:space="preserve"> to being in </w:t>
      </w:r>
      <w:r w:rsidRPr="00BE7FD0">
        <w:rPr>
          <w:i/>
          <w:sz w:val="24"/>
          <w:szCs w:val="24"/>
        </w:rPr>
        <w:t>y</w:t>
      </w:r>
      <w:r w:rsidRPr="00BE7FD0">
        <w:rPr>
          <w:sz w:val="24"/>
          <w:szCs w:val="24"/>
        </w:rPr>
        <w:t xml:space="preserve"> (1981a: 138-52; 2015: 121-4). Nonetheless, Evans’ mistaken idea that cases of reference change are “decisive against the Causal Theory of Names” (1973: 195) persists (Searle 1983; Sullivan 2010; Dickie 2011).</w:t>
      </w:r>
    </w:p>
  </w:footnote>
  <w:footnote w:id="22">
    <w:p w:rsidR="00CF2EA2" w:rsidRPr="00BE7FD0" w:rsidRDefault="00CF2EA2">
      <w:pPr>
        <w:pStyle w:val="FootnoteText"/>
        <w:rPr>
          <w:sz w:val="24"/>
          <w:szCs w:val="24"/>
        </w:rPr>
      </w:pPr>
      <w:r w:rsidRPr="00BE7FD0">
        <w:rPr>
          <w:rStyle w:val="FootnoteReference"/>
          <w:sz w:val="24"/>
          <w:szCs w:val="24"/>
        </w:rPr>
        <w:footnoteRef/>
      </w:r>
      <w:r w:rsidRPr="00BE7FD0">
        <w:rPr>
          <w:sz w:val="24"/>
          <w:szCs w:val="24"/>
        </w:rPr>
        <w:t xml:space="preserve"> See Machery et al 2004, for example.</w:t>
      </w:r>
    </w:p>
  </w:footnote>
  <w:footnote w:id="23">
    <w:p w:rsidR="00CF2EA2" w:rsidRPr="00BE7FD0" w:rsidRDefault="00CF2EA2">
      <w:pPr>
        <w:pStyle w:val="FootnoteText"/>
        <w:rPr>
          <w:sz w:val="24"/>
          <w:szCs w:val="24"/>
        </w:rPr>
      </w:pPr>
      <w:r w:rsidRPr="00BE7FD0">
        <w:rPr>
          <w:rStyle w:val="FootnoteReference"/>
          <w:sz w:val="24"/>
          <w:szCs w:val="24"/>
        </w:rPr>
        <w:footnoteRef/>
      </w:r>
      <w:r w:rsidRPr="00BE7FD0">
        <w:rPr>
          <w:sz w:val="24"/>
          <w:szCs w:val="24"/>
        </w:rPr>
        <w:t xml:space="preserve"> It is particularly obvious in the discussion of natural kind terms (116-43, 156-7).</w:t>
      </w:r>
    </w:p>
  </w:footnote>
  <w:footnote w:id="24">
    <w:p w:rsidR="00CF2EA2" w:rsidRPr="00BE7FD0" w:rsidRDefault="00CF2EA2">
      <w:pPr>
        <w:pStyle w:val="FootnoteText"/>
        <w:rPr>
          <w:sz w:val="24"/>
          <w:szCs w:val="24"/>
        </w:rPr>
      </w:pPr>
      <w:r w:rsidRPr="00BE7FD0">
        <w:rPr>
          <w:rStyle w:val="FootnoteReference"/>
          <w:sz w:val="24"/>
          <w:szCs w:val="24"/>
        </w:rPr>
        <w:footnoteRef/>
      </w:r>
      <w:r w:rsidRPr="00BE7FD0">
        <w:rPr>
          <w:sz w:val="24"/>
          <w:szCs w:val="24"/>
        </w:rPr>
        <w:t xml:space="preserve"> In discussing (A) to (D) in an earlier work, I wrongly allowed that this version (D) “</w:t>
      </w:r>
      <w:r w:rsidRPr="00BE7FD0">
        <w:rPr>
          <w:i/>
          <w:sz w:val="24"/>
          <w:szCs w:val="24"/>
        </w:rPr>
        <w:t>does</w:t>
      </w:r>
      <w:r w:rsidRPr="00BE7FD0">
        <w:rPr>
          <w:sz w:val="24"/>
          <w:szCs w:val="24"/>
        </w:rPr>
        <w:t xml:space="preserve"> rest on intuitions about reference” (2011b: 422).</w:t>
      </w:r>
    </w:p>
  </w:footnote>
  <w:footnote w:id="25">
    <w:p w:rsidR="00CF2EA2" w:rsidRPr="00BE7FD0" w:rsidRDefault="00CF2EA2">
      <w:pPr>
        <w:pStyle w:val="FootnoteText"/>
        <w:rPr>
          <w:sz w:val="24"/>
          <w:szCs w:val="24"/>
        </w:rPr>
      </w:pPr>
      <w:r w:rsidRPr="00BE7FD0">
        <w:rPr>
          <w:rStyle w:val="FootnoteReference"/>
          <w:sz w:val="24"/>
          <w:szCs w:val="24"/>
        </w:rPr>
        <w:footnoteRef/>
      </w:r>
      <w:r w:rsidRPr="00BE7FD0">
        <w:rPr>
          <w:sz w:val="24"/>
          <w:szCs w:val="24"/>
        </w:rPr>
        <w:t xml:space="preserve"> </w:t>
      </w:r>
      <w:r w:rsidRPr="00BE7FD0">
        <w:rPr>
          <w:spacing w:val="-3"/>
          <w:sz w:val="24"/>
          <w:szCs w:val="24"/>
        </w:rPr>
        <w:t xml:space="preserve">I agree with </w:t>
      </w:r>
      <w:proofErr w:type="spellStart"/>
      <w:r w:rsidRPr="00BE7FD0">
        <w:rPr>
          <w:spacing w:val="-3"/>
          <w:sz w:val="24"/>
          <w:szCs w:val="24"/>
        </w:rPr>
        <w:t>Kripke’s</w:t>
      </w:r>
      <w:proofErr w:type="spellEnd"/>
      <w:r w:rsidRPr="00BE7FD0">
        <w:rPr>
          <w:spacing w:val="-3"/>
          <w:sz w:val="24"/>
          <w:szCs w:val="24"/>
        </w:rPr>
        <w:t xml:space="preserve"> intuition that paradigm names like ‘Aristotle’ are rigid. This rigidity can be explained by a causal theory of their reference</w:t>
      </w:r>
      <w:r w:rsidRPr="00BE7FD0">
        <w:rPr>
          <w:sz w:val="24"/>
          <w:szCs w:val="24"/>
        </w:rPr>
        <w:t xml:space="preserve"> (2005: 145)</w:t>
      </w:r>
      <w:r w:rsidRPr="00BE7FD0">
        <w:rPr>
          <w:spacing w:val="-3"/>
          <w:sz w:val="24"/>
          <w:szCs w:val="24"/>
        </w:rPr>
        <w:t xml:space="preserve">. But what about a non-paradigm “descriptive” name like ‘Jack the Ripper’, where no such explanation is possible? Nathan </w:t>
      </w:r>
      <w:r w:rsidRPr="00BE7FD0">
        <w:rPr>
          <w:sz w:val="24"/>
          <w:szCs w:val="24"/>
        </w:rPr>
        <w:t>Salmon thinks that “</w:t>
      </w:r>
      <w:r w:rsidRPr="00BE7FD0">
        <w:rPr>
          <w:spacing w:val="-3"/>
          <w:sz w:val="24"/>
          <w:szCs w:val="24"/>
        </w:rPr>
        <w:t>Kripke has persuaded the angels and all right-minded philosophers” that these are rigid too (2020: ##). I have my doubts about their rigidity (2015: 136-7; 2020: 19.3.2), despite being named after a top angel.</w:t>
      </w:r>
    </w:p>
  </w:footnote>
  <w:footnote w:id="26">
    <w:p w:rsidR="00CF2EA2" w:rsidRPr="00BE7FD0" w:rsidRDefault="00CF2EA2" w:rsidP="005B4BD6">
      <w:pPr>
        <w:pStyle w:val="FootnoteText"/>
        <w:tabs>
          <w:tab w:val="left" w:pos="-720"/>
        </w:tabs>
        <w:suppressAutoHyphens/>
        <w:spacing w:after="240"/>
        <w:jc w:val="both"/>
        <w:rPr>
          <w:spacing w:val="-3"/>
          <w:sz w:val="24"/>
          <w:szCs w:val="24"/>
        </w:rPr>
      </w:pPr>
      <w:r w:rsidRPr="00BE7FD0">
        <w:rPr>
          <w:rStyle w:val="FootnoteReference"/>
          <w:spacing w:val="-3"/>
          <w:sz w:val="24"/>
          <w:szCs w:val="24"/>
        </w:rPr>
        <w:t>    </w:t>
      </w:r>
      <w:r w:rsidRPr="00BE7FD0">
        <w:rPr>
          <w:rStyle w:val="FootnoteReference"/>
          <w:spacing w:val="-3"/>
          <w:sz w:val="24"/>
          <w:szCs w:val="24"/>
        </w:rPr>
        <w:footnoteRef/>
      </w:r>
      <w:r w:rsidRPr="00BE7FD0">
        <w:rPr>
          <w:spacing w:val="-3"/>
          <w:sz w:val="24"/>
          <w:szCs w:val="24"/>
        </w:rPr>
        <w:t>Mondadori 1978, Donnellan 1983, Boer 1985, LaPorte 2000. There is some support for the proposal in Kripke: he talks of "the physical property" yellowness being rigidly designated by ‘yellow’ which "in this respect resembles the natural kind terms" (128n).</w:t>
      </w:r>
    </w:p>
  </w:footnote>
  <w:footnote w:id="27">
    <w:p w:rsidR="00CF2EA2" w:rsidRPr="00BE7FD0" w:rsidRDefault="00CF2EA2">
      <w:pPr>
        <w:pStyle w:val="FootnoteText"/>
        <w:rPr>
          <w:sz w:val="24"/>
          <w:szCs w:val="24"/>
        </w:rPr>
      </w:pPr>
      <w:r w:rsidRPr="00BE7FD0">
        <w:rPr>
          <w:rStyle w:val="FootnoteReference"/>
          <w:sz w:val="24"/>
          <w:szCs w:val="24"/>
        </w:rPr>
        <w:footnoteRef/>
      </w:r>
      <w:r w:rsidRPr="00BE7FD0">
        <w:rPr>
          <w:sz w:val="24"/>
          <w:szCs w:val="24"/>
        </w:rPr>
        <w:t xml:space="preserve"> E.g.</w:t>
      </w:r>
      <w:r w:rsidRPr="00BE7FD0">
        <w:rPr>
          <w:spacing w:val="-3"/>
          <w:sz w:val="24"/>
          <w:szCs w:val="24"/>
        </w:rPr>
        <w:t xml:space="preserve"> Cook 1980 and Macbeth 1995.</w:t>
      </w:r>
    </w:p>
  </w:footnote>
  <w:footnote w:id="28">
    <w:p w:rsidR="00CF2EA2" w:rsidRPr="00BE7FD0" w:rsidRDefault="00CF2EA2" w:rsidP="00387E93">
      <w:pPr>
        <w:pStyle w:val="FootnoteText"/>
        <w:rPr>
          <w:sz w:val="24"/>
          <w:szCs w:val="24"/>
        </w:rPr>
      </w:pPr>
      <w:r w:rsidRPr="00BE7FD0">
        <w:rPr>
          <w:rStyle w:val="FootnoteReference"/>
          <w:sz w:val="24"/>
          <w:szCs w:val="24"/>
        </w:rPr>
        <w:footnoteRef/>
      </w:r>
      <w:r w:rsidRPr="00BE7FD0">
        <w:rPr>
          <w:sz w:val="24"/>
          <w:szCs w:val="24"/>
        </w:rPr>
        <w:t xml:space="preserve"> </w:t>
      </w:r>
      <w:r w:rsidRPr="00BE7FD0">
        <w:rPr>
          <w:spacing w:val="-3"/>
          <w:sz w:val="24"/>
          <w:szCs w:val="24"/>
        </w:rPr>
        <w:t>“Direct reference” is often understood in other ways. I have summarized the various “direct reference” theories and their histories elsewhere (1989: 206-12; see also 1996: 170n).</w:t>
      </w:r>
    </w:p>
  </w:footnote>
  <w:footnote w:id="29">
    <w:p w:rsidR="00CF2EA2" w:rsidRPr="00BE7FD0" w:rsidRDefault="00CF2EA2" w:rsidP="00387E93">
      <w:pPr>
        <w:pStyle w:val="FootnoteText"/>
        <w:rPr>
          <w:sz w:val="24"/>
          <w:szCs w:val="24"/>
        </w:rPr>
      </w:pPr>
      <w:r w:rsidRPr="00BE7FD0">
        <w:rPr>
          <w:rStyle w:val="FootnoteReference"/>
          <w:sz w:val="24"/>
          <w:szCs w:val="24"/>
        </w:rPr>
        <w:footnoteRef/>
      </w:r>
      <w:r w:rsidRPr="00BE7FD0">
        <w:rPr>
          <w:sz w:val="24"/>
          <w:szCs w:val="24"/>
        </w:rPr>
        <w:t xml:space="preserve"> See </w:t>
      </w:r>
      <w:proofErr w:type="spellStart"/>
      <w:r w:rsidRPr="00BE7FD0">
        <w:rPr>
          <w:sz w:val="24"/>
          <w:szCs w:val="24"/>
        </w:rPr>
        <w:t>Barwise</w:t>
      </w:r>
      <w:proofErr w:type="spellEnd"/>
      <w:r w:rsidRPr="00BE7FD0">
        <w:rPr>
          <w:sz w:val="24"/>
          <w:szCs w:val="24"/>
        </w:rPr>
        <w:t xml:space="preserve"> and Perry 1983: 165; </w:t>
      </w:r>
      <w:proofErr w:type="spellStart"/>
      <w:r w:rsidRPr="00BE7FD0">
        <w:rPr>
          <w:sz w:val="24"/>
          <w:szCs w:val="24"/>
        </w:rPr>
        <w:t>Almog</w:t>
      </w:r>
      <w:proofErr w:type="spellEnd"/>
      <w:r w:rsidRPr="00BE7FD0">
        <w:rPr>
          <w:sz w:val="24"/>
          <w:szCs w:val="24"/>
        </w:rPr>
        <w:t xml:space="preserve"> 1984, 1985; Salmon 1986; Soames 1985, 1987; </w:t>
      </w:r>
      <w:proofErr w:type="spellStart"/>
      <w:r w:rsidRPr="00BE7FD0">
        <w:rPr>
          <w:sz w:val="24"/>
          <w:szCs w:val="24"/>
        </w:rPr>
        <w:t>Wettstein</w:t>
      </w:r>
      <w:proofErr w:type="spellEnd"/>
      <w:r w:rsidRPr="00BE7FD0">
        <w:rPr>
          <w:sz w:val="24"/>
          <w:szCs w:val="24"/>
        </w:rPr>
        <w:t xml:space="preserve"> 1986. For criticisms, see my 1989, 1996, 2012c. For a recent exchange, see Braun 2020 and my 2020: 19.3.1. In my view, direct reference is theoretically unmotivated.</w:t>
      </w:r>
    </w:p>
  </w:footnote>
  <w:footnote w:id="30">
    <w:p w:rsidR="00CF2EA2" w:rsidRPr="00BE7FD0" w:rsidRDefault="00CF2EA2" w:rsidP="00387E93">
      <w:pPr>
        <w:pStyle w:val="FootnoteText"/>
        <w:rPr>
          <w:sz w:val="24"/>
          <w:szCs w:val="24"/>
        </w:rPr>
      </w:pPr>
      <w:r w:rsidRPr="00BE7FD0">
        <w:rPr>
          <w:rStyle w:val="FootnoteReference"/>
          <w:sz w:val="24"/>
          <w:szCs w:val="24"/>
        </w:rPr>
        <w:footnoteRef/>
      </w:r>
      <w:r w:rsidRPr="00BE7FD0">
        <w:rPr>
          <w:sz w:val="24"/>
          <w:szCs w:val="24"/>
        </w:rPr>
        <w:t xml:space="preserve"> See, for example, </w:t>
      </w:r>
      <w:r w:rsidRPr="00BE7FD0">
        <w:rPr>
          <w:sz w:val="24"/>
          <w:szCs w:val="24"/>
          <w:lang w:val="de-DE"/>
        </w:rPr>
        <w:t>McGinn 1982: 244; Baker 1982: 227; Lycan 1985; Block 198</w:t>
      </w:r>
      <w:r>
        <w:rPr>
          <w:sz w:val="24"/>
          <w:szCs w:val="24"/>
          <w:lang w:val="de-DE"/>
        </w:rPr>
        <w:t>7</w:t>
      </w:r>
      <w:r w:rsidRPr="00BE7FD0">
        <w:rPr>
          <w:sz w:val="24"/>
          <w:szCs w:val="24"/>
          <w:lang w:val="de-DE"/>
        </w:rPr>
        <w:t>: 660, 665; Lepore and Loewer 198</w:t>
      </w:r>
      <w:r>
        <w:rPr>
          <w:sz w:val="24"/>
          <w:szCs w:val="24"/>
          <w:lang w:val="de-DE"/>
        </w:rPr>
        <w:t>7</w:t>
      </w:r>
      <w:r w:rsidRPr="00BE7FD0">
        <w:rPr>
          <w:sz w:val="24"/>
          <w:szCs w:val="24"/>
          <w:lang w:val="de-DE"/>
        </w:rPr>
        <w:t>: 60; Wagner 1986: 452.</w:t>
      </w:r>
    </w:p>
  </w:footnote>
  <w:footnote w:id="31">
    <w:p w:rsidR="00CF2EA2" w:rsidRPr="00BE7FD0" w:rsidRDefault="00CF2EA2" w:rsidP="007632A3">
      <w:pPr>
        <w:pStyle w:val="FootnoteText"/>
        <w:rPr>
          <w:sz w:val="24"/>
          <w:szCs w:val="24"/>
        </w:rPr>
      </w:pPr>
      <w:r w:rsidRPr="00BE7FD0">
        <w:rPr>
          <w:rStyle w:val="FootnoteReference"/>
          <w:sz w:val="24"/>
          <w:szCs w:val="24"/>
        </w:rPr>
        <w:footnoteRef/>
      </w:r>
      <w:r w:rsidRPr="00BE7FD0">
        <w:rPr>
          <w:sz w:val="24"/>
          <w:szCs w:val="24"/>
        </w:rPr>
        <w:t xml:space="preserve"> My 2015, pp. 130-3, is a recent elaboration.</w:t>
      </w:r>
    </w:p>
  </w:footnote>
  <w:footnote w:id="32">
    <w:p w:rsidR="00CF2EA2" w:rsidRPr="00BE7FD0" w:rsidRDefault="00CF2EA2" w:rsidP="00AD7E13">
      <w:pPr>
        <w:pStyle w:val="FootnoteText"/>
        <w:rPr>
          <w:sz w:val="24"/>
          <w:szCs w:val="24"/>
        </w:rPr>
      </w:pPr>
      <w:r w:rsidRPr="00BE7FD0">
        <w:rPr>
          <w:rStyle w:val="FootnoteReference"/>
          <w:sz w:val="24"/>
          <w:szCs w:val="24"/>
        </w:rPr>
        <w:footnoteRef/>
      </w:r>
      <w:r w:rsidRPr="00BE7FD0">
        <w:rPr>
          <w:sz w:val="24"/>
          <w:szCs w:val="24"/>
        </w:rPr>
        <w:t xml:space="preserve"> The reactio</w:t>
      </w:r>
      <w:bookmarkStart w:id="0" w:name="_GoBack"/>
      <w:bookmarkEnd w:id="0"/>
      <w:r w:rsidRPr="00BE7FD0">
        <w:rPr>
          <w:sz w:val="24"/>
          <w:szCs w:val="24"/>
        </w:rPr>
        <w:t xml:space="preserve">n to this alternative from the two “hard men” of direct reference is interesting: Salmon describes it as </w:t>
      </w:r>
      <w:r w:rsidRPr="00BE7FD0">
        <w:rPr>
          <w:spacing w:val="-3"/>
          <w:sz w:val="24"/>
          <w:szCs w:val="24"/>
        </w:rPr>
        <w:t>“</w:t>
      </w:r>
      <w:proofErr w:type="spellStart"/>
      <w:r w:rsidRPr="00BE7FD0">
        <w:rPr>
          <w:spacing w:val="-3"/>
          <w:sz w:val="24"/>
          <w:szCs w:val="24"/>
        </w:rPr>
        <w:t>ill conceived</w:t>
      </w:r>
      <w:proofErr w:type="spellEnd"/>
      <w:r w:rsidRPr="00BE7FD0">
        <w:rPr>
          <w:spacing w:val="-3"/>
          <w:sz w:val="24"/>
          <w:szCs w:val="24"/>
        </w:rPr>
        <w:t xml:space="preserve"> if not downright desperate...wildly bizarre...a confusion, on the order of a category mistake” (1986: 70</w:t>
      </w:r>
      <w:r w:rsidRPr="00BE7FD0">
        <w:rPr>
          <w:spacing w:val="-3"/>
          <w:sz w:val="24"/>
          <w:szCs w:val="24"/>
        </w:rPr>
        <w:noBreakHyphen/>
        <w:t>1);</w:t>
      </w:r>
      <w:r w:rsidRPr="00BE7FD0">
        <w:rPr>
          <w:sz w:val="24"/>
          <w:szCs w:val="24"/>
        </w:rPr>
        <w:t xml:space="preserve"> Soames (2002) simply pretends that it doesn’t exist.</w:t>
      </w:r>
    </w:p>
  </w:footnote>
  <w:footnote w:id="33">
    <w:p w:rsidR="00CF2EA2" w:rsidRPr="00BE7FD0" w:rsidRDefault="00CF2EA2" w:rsidP="00387E93">
      <w:pPr>
        <w:pStyle w:val="FootnoteText"/>
        <w:rPr>
          <w:sz w:val="24"/>
          <w:szCs w:val="24"/>
        </w:rPr>
      </w:pPr>
      <w:r w:rsidRPr="00BE7FD0">
        <w:rPr>
          <w:rStyle w:val="FootnoteReference"/>
          <w:sz w:val="24"/>
          <w:szCs w:val="24"/>
        </w:rPr>
        <w:footnoteRef/>
      </w:r>
      <w:r w:rsidRPr="00BE7FD0">
        <w:rPr>
          <w:sz w:val="24"/>
          <w:szCs w:val="24"/>
        </w:rPr>
        <w:t xml:space="preserve"> Schiffer claims, without argument, that it is “difficult, if not impossible, to see how [Kripke] could reject” direct reference (1979: 63). Ackerman cites two passages to support her attribution to Kripke, while allowing that it is “less clear-cut” than the attribution to Donnellan (1979: 68: n. 6). The citations </w:t>
      </w:r>
      <w:r>
        <w:rPr>
          <w:sz w:val="24"/>
          <w:szCs w:val="24"/>
        </w:rPr>
        <w:t>are not convincing</w:t>
      </w:r>
      <w:r w:rsidRPr="00BE7FD0">
        <w:rPr>
          <w:sz w:val="24"/>
          <w:szCs w:val="24"/>
        </w:rPr>
        <w:t>.</w:t>
      </w:r>
    </w:p>
  </w:footnote>
  <w:footnote w:id="34">
    <w:p w:rsidR="00CF2EA2" w:rsidRPr="00BE7FD0" w:rsidRDefault="00CF2EA2" w:rsidP="00387E93">
      <w:pPr>
        <w:pStyle w:val="FootnoteText"/>
        <w:rPr>
          <w:sz w:val="24"/>
          <w:szCs w:val="24"/>
        </w:rPr>
      </w:pPr>
      <w:r w:rsidRPr="00BE7FD0">
        <w:rPr>
          <w:rStyle w:val="FootnoteReference"/>
          <w:sz w:val="24"/>
          <w:szCs w:val="24"/>
        </w:rPr>
        <w:footnoteRef/>
      </w:r>
      <w:r w:rsidRPr="00BE7FD0">
        <w:rPr>
          <w:sz w:val="24"/>
          <w:szCs w:val="24"/>
        </w:rPr>
        <w:t xml:space="preserve"> I have earlier (1989: 209) doubted that direct reference was to be found in Donnellan 1974 but, thanks to Andrea Bianchi, I now think I may have been wrong about this. In a later work, Donnellan certainly embraces direct reference </w:t>
      </w:r>
      <w:r w:rsidRPr="00BE7FD0">
        <w:rPr>
          <w:spacing w:val="-3"/>
          <w:sz w:val="24"/>
          <w:szCs w:val="24"/>
        </w:rPr>
        <w:t>(1989: 275-76).</w:t>
      </w:r>
      <w:r w:rsidRPr="00BE7FD0">
        <w:rPr>
          <w:sz w:val="24"/>
          <w:szCs w:val="24"/>
        </w:rPr>
        <w:t xml:space="preserve"> </w:t>
      </w:r>
    </w:p>
  </w:footnote>
  <w:footnote w:id="35">
    <w:p w:rsidR="00CF2EA2" w:rsidRPr="00BE7FD0" w:rsidRDefault="00CF2EA2" w:rsidP="00387E93">
      <w:pPr>
        <w:pStyle w:val="FootnoteText"/>
        <w:rPr>
          <w:sz w:val="24"/>
          <w:szCs w:val="24"/>
        </w:rPr>
      </w:pPr>
      <w:r w:rsidRPr="00BE7FD0">
        <w:rPr>
          <w:rStyle w:val="FootnoteReference"/>
          <w:sz w:val="24"/>
          <w:szCs w:val="24"/>
        </w:rPr>
        <w:footnoteRef/>
      </w:r>
      <w:r w:rsidRPr="00BE7FD0">
        <w:rPr>
          <w:sz w:val="24"/>
          <w:szCs w:val="24"/>
        </w:rPr>
        <w:t xml:space="preserve"> Ruth </w:t>
      </w:r>
      <w:proofErr w:type="spellStart"/>
      <w:r w:rsidRPr="00BE7FD0">
        <w:rPr>
          <w:sz w:val="24"/>
          <w:szCs w:val="24"/>
        </w:rPr>
        <w:t>Barcan</w:t>
      </w:r>
      <w:proofErr w:type="spellEnd"/>
      <w:r w:rsidRPr="00BE7FD0">
        <w:rPr>
          <w:sz w:val="24"/>
          <w:szCs w:val="24"/>
        </w:rPr>
        <w:t xml:space="preserve"> Marcus (1961) had embraced the view before the revolution.</w:t>
      </w:r>
    </w:p>
  </w:footnote>
  <w:footnote w:id="36">
    <w:p w:rsidR="00CF2EA2" w:rsidRPr="00BE7FD0" w:rsidRDefault="00CF2EA2" w:rsidP="00387E93">
      <w:pPr>
        <w:pStyle w:val="FootnoteText"/>
        <w:rPr>
          <w:sz w:val="24"/>
          <w:szCs w:val="24"/>
        </w:rPr>
      </w:pPr>
      <w:r w:rsidRPr="00BE7FD0">
        <w:rPr>
          <w:rStyle w:val="FootnoteReference"/>
          <w:sz w:val="24"/>
          <w:szCs w:val="24"/>
        </w:rPr>
        <w:footnoteRef/>
      </w:r>
      <w:r w:rsidRPr="00BE7FD0">
        <w:rPr>
          <w:sz w:val="24"/>
          <w:szCs w:val="24"/>
        </w:rPr>
        <w:t xml:space="preserve"> The misattributions continue to this day: “But Kripke still goes a long way with Mill. For the name user down the chain, the name is fully </w:t>
      </w:r>
      <w:proofErr w:type="spellStart"/>
      <w:r w:rsidRPr="00BE7FD0">
        <w:rPr>
          <w:sz w:val="24"/>
          <w:szCs w:val="24"/>
        </w:rPr>
        <w:t>Millian</w:t>
      </w:r>
      <w:proofErr w:type="spellEnd"/>
      <w:r w:rsidRPr="00BE7FD0">
        <w:rPr>
          <w:sz w:val="24"/>
          <w:szCs w:val="24"/>
        </w:rPr>
        <w:t xml:space="preserve"> - no descriptions or modes of presentation, not even in a reference-fixing capacity.” (</w:t>
      </w:r>
      <w:proofErr w:type="spellStart"/>
      <w:r w:rsidRPr="00BE7FD0">
        <w:rPr>
          <w:sz w:val="24"/>
          <w:szCs w:val="24"/>
        </w:rPr>
        <w:t>Wettstein</w:t>
      </w:r>
      <w:proofErr w:type="spellEnd"/>
      <w:r w:rsidRPr="00BE7FD0">
        <w:rPr>
          <w:sz w:val="24"/>
          <w:szCs w:val="24"/>
        </w:rPr>
        <w:t xml:space="preserve"> 2012: 117)</w:t>
      </w:r>
    </w:p>
  </w:footnote>
  <w:footnote w:id="37">
    <w:p w:rsidR="00CF2EA2" w:rsidRPr="00BE7FD0" w:rsidRDefault="00CF2EA2" w:rsidP="00387E93">
      <w:pPr>
        <w:pStyle w:val="FootnoteText"/>
        <w:rPr>
          <w:sz w:val="24"/>
          <w:szCs w:val="24"/>
        </w:rPr>
      </w:pPr>
      <w:r w:rsidRPr="00BE7FD0">
        <w:rPr>
          <w:rStyle w:val="FootnoteReference"/>
          <w:sz w:val="24"/>
          <w:szCs w:val="24"/>
        </w:rPr>
        <w:footnoteRef/>
      </w:r>
      <w:r w:rsidRPr="00BE7FD0">
        <w:rPr>
          <w:sz w:val="24"/>
          <w:szCs w:val="24"/>
        </w:rPr>
        <w:t xml:space="preserve"> Thanks to Nathan Salmon for scholarly help with this paragraph.</w:t>
      </w:r>
    </w:p>
  </w:footnote>
  <w:footnote w:id="38">
    <w:p w:rsidR="00CF2EA2" w:rsidRPr="00BE7FD0" w:rsidRDefault="00CF2EA2" w:rsidP="00387E93">
      <w:pPr>
        <w:pStyle w:val="FootnoteText"/>
        <w:rPr>
          <w:sz w:val="24"/>
          <w:szCs w:val="24"/>
        </w:rPr>
      </w:pPr>
      <w:r w:rsidRPr="00BE7FD0">
        <w:rPr>
          <w:rStyle w:val="FootnoteReference"/>
          <w:sz w:val="24"/>
          <w:szCs w:val="24"/>
        </w:rPr>
        <w:footnoteRef/>
      </w:r>
      <w:r w:rsidRPr="00BE7FD0">
        <w:rPr>
          <w:sz w:val="24"/>
          <w:szCs w:val="24"/>
        </w:rPr>
        <w:t xml:space="preserve"> I have discussed the argument that leads him to this (1989: 213-15).</w:t>
      </w:r>
    </w:p>
  </w:footnote>
  <w:footnote w:id="39">
    <w:p w:rsidR="00CF2EA2" w:rsidRPr="00BE7FD0" w:rsidRDefault="00CF2EA2" w:rsidP="00387E93">
      <w:pPr>
        <w:pStyle w:val="FootnoteText"/>
        <w:rPr>
          <w:sz w:val="24"/>
          <w:szCs w:val="24"/>
        </w:rPr>
      </w:pPr>
      <w:r w:rsidRPr="00BE7FD0">
        <w:rPr>
          <w:rStyle w:val="FootnoteReference"/>
          <w:sz w:val="24"/>
          <w:szCs w:val="24"/>
        </w:rPr>
        <w:footnoteRef/>
      </w:r>
      <w:r w:rsidRPr="00BE7FD0">
        <w:rPr>
          <w:sz w:val="24"/>
          <w:szCs w:val="24"/>
        </w:rPr>
        <w:t xml:space="preserve"> Aside from my own proposal, Panu Raatikainen has drawn my attention to a note in which Kripke briefly mentions something like this idea: “Hartry Field has proposed that, for some of the purposes of </w:t>
      </w:r>
      <w:proofErr w:type="spellStart"/>
      <w:r w:rsidRPr="00BE7FD0">
        <w:rPr>
          <w:sz w:val="24"/>
          <w:szCs w:val="24"/>
        </w:rPr>
        <w:t>Frege’s</w:t>
      </w:r>
      <w:proofErr w:type="spellEnd"/>
      <w:r w:rsidRPr="00BE7FD0">
        <w:rPr>
          <w:sz w:val="24"/>
          <w:szCs w:val="24"/>
        </w:rPr>
        <w:t xml:space="preserve"> theory, his notion of sense should be replaced by the chain which determines reference” (1972: 346, n. 22; the note does not re-appear in the 1980 book). (Field also attended </w:t>
      </w:r>
      <w:proofErr w:type="spellStart"/>
      <w:r w:rsidRPr="00BE7FD0">
        <w:rPr>
          <w:sz w:val="24"/>
          <w:szCs w:val="24"/>
        </w:rPr>
        <w:t>Kripke’s</w:t>
      </w:r>
      <w:proofErr w:type="spellEnd"/>
      <w:r w:rsidRPr="00BE7FD0">
        <w:rPr>
          <w:sz w:val="24"/>
          <w:szCs w:val="24"/>
        </w:rPr>
        <w:t xml:space="preserve"> 1967 lectures. In the months that followed, we talked countless times about the issues raised by the lectures. The idea of a name’s meaning as a causal mode of referring surely first emerged in those discussions.)</w:t>
      </w:r>
    </w:p>
  </w:footnote>
  <w:footnote w:id="40">
    <w:p w:rsidR="00CF2EA2" w:rsidRPr="00BE7FD0" w:rsidRDefault="00CF2EA2">
      <w:pPr>
        <w:pStyle w:val="FootnoteText"/>
        <w:rPr>
          <w:sz w:val="24"/>
          <w:szCs w:val="24"/>
        </w:rPr>
      </w:pPr>
      <w:r w:rsidRPr="00BE7FD0">
        <w:rPr>
          <w:rStyle w:val="FootnoteReference"/>
          <w:sz w:val="24"/>
          <w:szCs w:val="24"/>
        </w:rPr>
        <w:footnoteRef/>
      </w:r>
      <w:r w:rsidRPr="00BE7FD0">
        <w:rPr>
          <w:sz w:val="24"/>
          <w:szCs w:val="24"/>
        </w:rPr>
        <w:t xml:space="preserve"> </w:t>
      </w:r>
      <w:r>
        <w:rPr>
          <w:sz w:val="24"/>
          <w:szCs w:val="24"/>
        </w:rPr>
        <w:t>See also Godman et al (2020).</w:t>
      </w:r>
    </w:p>
  </w:footnote>
  <w:footnote w:id="41">
    <w:p w:rsidR="00CF2EA2" w:rsidRDefault="00CF2EA2">
      <w:pPr>
        <w:pStyle w:val="FootnoteText"/>
      </w:pPr>
      <w:r>
        <w:rPr>
          <w:rStyle w:val="FootnoteReference"/>
        </w:rPr>
        <w:footnoteRef/>
      </w:r>
      <w:r>
        <w:t xml:space="preserve"> </w:t>
      </w:r>
      <w:r>
        <w:rPr>
          <w:sz w:val="24"/>
          <w:szCs w:val="24"/>
        </w:rPr>
        <w:t>Marion Godman and David Papineau (2020) disagree, arguing along different lines for a purely historical essence; I have responded (2020: 19.5.2).</w:t>
      </w:r>
    </w:p>
  </w:footnote>
  <w:footnote w:id="42">
    <w:p w:rsidR="00CF2EA2" w:rsidRPr="00BE7FD0" w:rsidRDefault="00CF2EA2" w:rsidP="00001BD6">
      <w:pPr>
        <w:pStyle w:val="FootnoteText"/>
        <w:rPr>
          <w:sz w:val="24"/>
          <w:szCs w:val="24"/>
        </w:rPr>
      </w:pPr>
      <w:r w:rsidRPr="00BE7FD0">
        <w:rPr>
          <w:rStyle w:val="FootnoteReference"/>
          <w:sz w:val="24"/>
          <w:szCs w:val="24"/>
        </w:rPr>
        <w:footnoteRef/>
      </w:r>
      <w:r w:rsidRPr="00BE7FD0">
        <w:rPr>
          <w:sz w:val="24"/>
          <w:szCs w:val="24"/>
        </w:rPr>
        <w:t xml:space="preserve"> It was common in discussions of “the identity theory” of mind, for example.</w:t>
      </w:r>
    </w:p>
  </w:footnote>
  <w:footnote w:id="43">
    <w:p w:rsidR="00CF2EA2" w:rsidRPr="00BE7FD0" w:rsidRDefault="00CF2EA2" w:rsidP="0036761D">
      <w:pPr>
        <w:pStyle w:val="FootnoteText"/>
        <w:rPr>
          <w:sz w:val="24"/>
          <w:szCs w:val="24"/>
        </w:rPr>
      </w:pPr>
      <w:r w:rsidRPr="00BE7FD0">
        <w:rPr>
          <w:rStyle w:val="FootnoteReference"/>
          <w:sz w:val="24"/>
          <w:szCs w:val="24"/>
        </w:rPr>
        <w:footnoteRef/>
      </w:r>
      <w:r w:rsidRPr="00BE7FD0">
        <w:rPr>
          <w:sz w:val="24"/>
          <w:szCs w:val="24"/>
        </w:rPr>
        <w:t xml:space="preserve"> The former is Ernst </w:t>
      </w:r>
      <w:proofErr w:type="spellStart"/>
      <w:r w:rsidRPr="00BE7FD0">
        <w:rPr>
          <w:sz w:val="24"/>
          <w:szCs w:val="24"/>
        </w:rPr>
        <w:t>Mayr’s</w:t>
      </w:r>
      <w:proofErr w:type="spellEnd"/>
      <w:r w:rsidRPr="00BE7FD0">
        <w:rPr>
          <w:sz w:val="24"/>
          <w:szCs w:val="24"/>
        </w:rPr>
        <w:t xml:space="preserve"> “taxon problem”, the latter, his “category problem” (1982: 253-4).</w:t>
      </w:r>
      <w:r>
        <w:rPr>
          <w:sz w:val="24"/>
          <w:szCs w:val="24"/>
        </w:rPr>
        <w:t xml:space="preserve"> </w:t>
      </w:r>
      <w:proofErr w:type="spellStart"/>
      <w:r w:rsidR="00ED5DF7" w:rsidRPr="00ED5DF7">
        <w:rPr>
          <w:sz w:val="24"/>
          <w:szCs w:val="24"/>
        </w:rPr>
        <w:t>Mayr’s</w:t>
      </w:r>
      <w:proofErr w:type="spellEnd"/>
      <w:r w:rsidR="00ED5DF7" w:rsidRPr="00ED5DF7">
        <w:rPr>
          <w:sz w:val="24"/>
          <w:szCs w:val="24"/>
        </w:rPr>
        <w:t xml:space="preserve"> distinction is well-established and yet, as I demonstrated (2008), its significance has been standardly overlooked in </w:t>
      </w:r>
      <w:r w:rsidR="00ED5DF7">
        <w:rPr>
          <w:sz w:val="24"/>
          <w:szCs w:val="24"/>
        </w:rPr>
        <w:t>dismissals of</w:t>
      </w:r>
      <w:r>
        <w:rPr>
          <w:sz w:val="24"/>
          <w:szCs w:val="24"/>
        </w:rPr>
        <w:t xml:space="preserve"> intrinsic essentialism about species.</w:t>
      </w:r>
    </w:p>
  </w:footnote>
  <w:footnote w:id="44">
    <w:p w:rsidR="00CF2EA2" w:rsidRPr="00BE7FD0" w:rsidRDefault="00CF2EA2" w:rsidP="00C60088">
      <w:pPr>
        <w:pStyle w:val="FootnoteText"/>
        <w:rPr>
          <w:sz w:val="24"/>
          <w:szCs w:val="24"/>
        </w:rPr>
      </w:pPr>
      <w:r w:rsidRPr="00BE7FD0">
        <w:rPr>
          <w:rStyle w:val="FootnoteReference"/>
          <w:sz w:val="24"/>
          <w:szCs w:val="24"/>
        </w:rPr>
        <w:footnoteRef/>
      </w:r>
      <w:r w:rsidRPr="00BE7FD0">
        <w:rPr>
          <w:sz w:val="24"/>
          <w:szCs w:val="24"/>
        </w:rPr>
        <w:t xml:space="preserve"> </w:t>
      </w:r>
      <w:r w:rsidRPr="00BE7FD0">
        <w:rPr>
          <w:spacing w:val="-3"/>
          <w:sz w:val="24"/>
          <w:szCs w:val="24"/>
        </w:rPr>
        <w:t xml:space="preserve">I infer from the form of </w:t>
      </w:r>
      <w:proofErr w:type="spellStart"/>
      <w:r w:rsidRPr="00BE7FD0">
        <w:rPr>
          <w:spacing w:val="-3"/>
          <w:sz w:val="24"/>
          <w:szCs w:val="24"/>
        </w:rPr>
        <w:t>LaPorte’s</w:t>
      </w:r>
      <w:proofErr w:type="spellEnd"/>
      <w:r w:rsidRPr="00BE7FD0">
        <w:rPr>
          <w:spacing w:val="-3"/>
          <w:sz w:val="24"/>
          <w:szCs w:val="24"/>
        </w:rPr>
        <w:t xml:space="preserve"> argument that he thinks that philosophers of biology up to that time had </w:t>
      </w:r>
      <w:r w:rsidRPr="00BE7FD0">
        <w:rPr>
          <w:i/>
          <w:spacing w:val="-3"/>
          <w:sz w:val="24"/>
          <w:szCs w:val="24"/>
        </w:rPr>
        <w:t>implicitly</w:t>
      </w:r>
      <w:r w:rsidRPr="00BE7FD0">
        <w:rPr>
          <w:spacing w:val="-3"/>
          <w:sz w:val="24"/>
          <w:szCs w:val="24"/>
        </w:rPr>
        <w:t xml:space="preserve"> rejected </w:t>
      </w:r>
      <w:r w:rsidRPr="00BE7FD0">
        <w:rPr>
          <w:i/>
          <w:spacing w:val="-3"/>
          <w:sz w:val="24"/>
          <w:szCs w:val="24"/>
        </w:rPr>
        <w:t>Essential Membership</w:t>
      </w:r>
      <w:r w:rsidRPr="00BE7FD0">
        <w:rPr>
          <w:spacing w:val="-3"/>
          <w:sz w:val="24"/>
          <w:szCs w:val="24"/>
        </w:rPr>
        <w:t>.</w:t>
      </w:r>
      <w:r w:rsidRPr="00BE7FD0">
        <w:rPr>
          <w:sz w:val="24"/>
          <w:szCs w:val="24"/>
        </w:rPr>
        <w:t xml:space="preserve"> Since then, Griffith (1999), Levine (2001), Haber (2012), Leslie (2013), and Witteveen (2015) have done so explicitly.</w:t>
      </w:r>
    </w:p>
  </w:footnote>
  <w:footnote w:id="45">
    <w:p w:rsidR="00CF2EA2" w:rsidRPr="00BE7FD0" w:rsidRDefault="00CF2EA2" w:rsidP="007740F4">
      <w:pPr>
        <w:pStyle w:val="FootnoteText"/>
        <w:rPr>
          <w:sz w:val="24"/>
          <w:szCs w:val="24"/>
        </w:rPr>
      </w:pPr>
      <w:r w:rsidRPr="00BE7FD0">
        <w:rPr>
          <w:rStyle w:val="FootnoteReference"/>
          <w:sz w:val="24"/>
          <w:szCs w:val="24"/>
        </w:rPr>
        <w:footnoteRef/>
      </w:r>
      <w:r w:rsidRPr="00BE7FD0">
        <w:rPr>
          <w:sz w:val="24"/>
          <w:szCs w:val="24"/>
        </w:rPr>
        <w:t xml:space="preserve"> Kripke claims also that “(roughly) </w:t>
      </w:r>
      <w:r w:rsidRPr="00BE7FD0">
        <w:rPr>
          <w:i/>
          <w:iCs/>
          <w:sz w:val="24"/>
          <w:szCs w:val="24"/>
        </w:rPr>
        <w:t xml:space="preserve">being a table </w:t>
      </w:r>
      <w:r w:rsidRPr="00BE7FD0">
        <w:rPr>
          <w:sz w:val="24"/>
          <w:szCs w:val="24"/>
        </w:rPr>
        <w:t>seems to be an essential property of the table” (115 n. 57). I have argued that this cautious suggestion is mistaken (2005, p. 156).</w:t>
      </w:r>
    </w:p>
  </w:footnote>
  <w:footnote w:id="46">
    <w:p w:rsidR="00CF2EA2" w:rsidRPr="00BE7FD0" w:rsidRDefault="00CF2EA2" w:rsidP="007740F4">
      <w:pPr>
        <w:pStyle w:val="FootnoteText"/>
        <w:rPr>
          <w:sz w:val="24"/>
          <w:szCs w:val="24"/>
        </w:rPr>
      </w:pPr>
      <w:r w:rsidRPr="00BE7FD0">
        <w:rPr>
          <w:rStyle w:val="FootnoteReference"/>
          <w:sz w:val="24"/>
          <w:szCs w:val="24"/>
        </w:rPr>
        <w:footnoteRef/>
      </w:r>
      <w:r w:rsidRPr="00BE7FD0">
        <w:rPr>
          <w:sz w:val="24"/>
          <w:szCs w:val="24"/>
        </w:rPr>
        <w:t xml:space="preserve"> This is only true of sexual organisms, of course.</w:t>
      </w:r>
    </w:p>
  </w:footnote>
  <w:footnote w:id="47">
    <w:p w:rsidR="00CF2EA2" w:rsidRPr="00BE7FD0" w:rsidRDefault="00CF2EA2" w:rsidP="00C76393">
      <w:pPr>
        <w:pStyle w:val="FootnoteText"/>
        <w:rPr>
          <w:sz w:val="24"/>
          <w:szCs w:val="24"/>
        </w:rPr>
      </w:pPr>
      <w:r w:rsidRPr="00BE7FD0">
        <w:rPr>
          <w:rStyle w:val="FootnoteReference"/>
          <w:sz w:val="24"/>
          <w:szCs w:val="24"/>
        </w:rPr>
        <w:footnoteRef/>
      </w:r>
      <w:r w:rsidRPr="00BE7FD0">
        <w:rPr>
          <w:sz w:val="24"/>
          <w:szCs w:val="24"/>
        </w:rPr>
        <w:t xml:space="preserve"> This avoids what Robertson and Atkins (2016) nicely call, “The Recycling Problem”: if all the matter that constitutes </w:t>
      </w:r>
      <w:r w:rsidRPr="00BE7FD0">
        <w:rPr>
          <w:i/>
          <w:sz w:val="24"/>
          <w:szCs w:val="24"/>
        </w:rPr>
        <w:t>z</w:t>
      </w:r>
      <w:r w:rsidRPr="00BE7FD0">
        <w:rPr>
          <w:sz w:val="24"/>
          <w:szCs w:val="24"/>
        </w:rPr>
        <w:t xml:space="preserve"> were recycled into something that was qualitatively identical to </w:t>
      </w:r>
      <w:r w:rsidRPr="00BE7FD0">
        <w:rPr>
          <w:i/>
          <w:sz w:val="24"/>
          <w:szCs w:val="24"/>
        </w:rPr>
        <w:t>z</w:t>
      </w:r>
      <w:r w:rsidRPr="00BE7FD0">
        <w:rPr>
          <w:sz w:val="24"/>
          <w:szCs w:val="24"/>
        </w:rPr>
        <w:t xml:space="preserve"> it would still not be </w:t>
      </w:r>
      <w:r w:rsidRPr="00BE7FD0">
        <w:rPr>
          <w:i/>
          <w:sz w:val="24"/>
          <w:szCs w:val="24"/>
        </w:rPr>
        <w:t>z</w:t>
      </w:r>
      <w:r w:rsidRPr="00BE7FD0">
        <w:rPr>
          <w:sz w:val="24"/>
          <w:szCs w:val="24"/>
        </w:rPr>
        <w:t xml:space="preserve"> because it would lack the right history.</w:t>
      </w:r>
    </w:p>
  </w:footnote>
  <w:footnote w:id="48">
    <w:p w:rsidR="00CF2EA2" w:rsidRPr="00BE7FD0" w:rsidRDefault="00CF2EA2" w:rsidP="00C64819">
      <w:pPr>
        <w:pStyle w:val="FootnoteText"/>
        <w:rPr>
          <w:sz w:val="24"/>
          <w:szCs w:val="24"/>
        </w:rPr>
      </w:pPr>
      <w:r w:rsidRPr="00BE7FD0">
        <w:rPr>
          <w:rStyle w:val="FootnoteReference"/>
          <w:sz w:val="24"/>
          <w:szCs w:val="24"/>
        </w:rPr>
        <w:footnoteRef/>
      </w:r>
      <w:r w:rsidRPr="00BE7FD0">
        <w:rPr>
          <w:sz w:val="24"/>
          <w:szCs w:val="24"/>
        </w:rPr>
        <w:t xml:space="preserve"> </w:t>
      </w:r>
      <w:r w:rsidR="00513A34">
        <w:rPr>
          <w:sz w:val="24"/>
          <w:szCs w:val="24"/>
        </w:rPr>
        <w:t>I am grateful to the following for very</w:t>
      </w:r>
      <w:r w:rsidRPr="00BE7FD0">
        <w:rPr>
          <w:sz w:val="24"/>
          <w:szCs w:val="24"/>
        </w:rPr>
        <w:t xml:space="preserve"> helpful comments on a draft: Andrea Bianchi, </w:t>
      </w:r>
      <w:proofErr w:type="spellStart"/>
      <w:r w:rsidRPr="00BE7FD0">
        <w:rPr>
          <w:sz w:val="24"/>
          <w:szCs w:val="24"/>
        </w:rPr>
        <w:t>Ekain</w:t>
      </w:r>
      <w:proofErr w:type="spellEnd"/>
      <w:r w:rsidRPr="00BE7FD0">
        <w:rPr>
          <w:sz w:val="24"/>
          <w:szCs w:val="24"/>
        </w:rPr>
        <w:t xml:space="preserve"> </w:t>
      </w:r>
      <w:proofErr w:type="spellStart"/>
      <w:r w:rsidRPr="00BE7FD0">
        <w:rPr>
          <w:sz w:val="24"/>
          <w:szCs w:val="24"/>
        </w:rPr>
        <w:t>Garmendia</w:t>
      </w:r>
      <w:proofErr w:type="spellEnd"/>
      <w:r w:rsidRPr="00BE7FD0">
        <w:rPr>
          <w:sz w:val="24"/>
          <w:szCs w:val="24"/>
        </w:rPr>
        <w:t>, Kepa Korta, Saul Kripke, Antonella Mallozzi, and Panu Raatikainen.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744D0B"/>
    <w:multiLevelType w:val="hybridMultilevel"/>
    <w:tmpl w:val="42285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FCB"/>
    <w:rsid w:val="00000B15"/>
    <w:rsid w:val="00000BCE"/>
    <w:rsid w:val="00001BD6"/>
    <w:rsid w:val="0001163D"/>
    <w:rsid w:val="0001174F"/>
    <w:rsid w:val="0001370D"/>
    <w:rsid w:val="00020787"/>
    <w:rsid w:val="00023B7F"/>
    <w:rsid w:val="000315BE"/>
    <w:rsid w:val="000475A6"/>
    <w:rsid w:val="00047692"/>
    <w:rsid w:val="00061C9B"/>
    <w:rsid w:val="00077297"/>
    <w:rsid w:val="000775F5"/>
    <w:rsid w:val="000819F3"/>
    <w:rsid w:val="00087EDF"/>
    <w:rsid w:val="000917F3"/>
    <w:rsid w:val="00092844"/>
    <w:rsid w:val="00097AE2"/>
    <w:rsid w:val="000A424A"/>
    <w:rsid w:val="000A6176"/>
    <w:rsid w:val="000C0503"/>
    <w:rsid w:val="000E6F0A"/>
    <w:rsid w:val="000F44B9"/>
    <w:rsid w:val="001067DD"/>
    <w:rsid w:val="0011758D"/>
    <w:rsid w:val="00121B1D"/>
    <w:rsid w:val="001224E9"/>
    <w:rsid w:val="00122E57"/>
    <w:rsid w:val="00131684"/>
    <w:rsid w:val="0014277C"/>
    <w:rsid w:val="00145195"/>
    <w:rsid w:val="001455B6"/>
    <w:rsid w:val="00164A69"/>
    <w:rsid w:val="001702D2"/>
    <w:rsid w:val="00183029"/>
    <w:rsid w:val="00184FCD"/>
    <w:rsid w:val="001A1AF8"/>
    <w:rsid w:val="001A75D5"/>
    <w:rsid w:val="001B05A0"/>
    <w:rsid w:val="001B110E"/>
    <w:rsid w:val="001B1220"/>
    <w:rsid w:val="001B6FFC"/>
    <w:rsid w:val="001C13E8"/>
    <w:rsid w:val="001C45E6"/>
    <w:rsid w:val="001C47D5"/>
    <w:rsid w:val="001D10CC"/>
    <w:rsid w:val="001D5C17"/>
    <w:rsid w:val="001D6F08"/>
    <w:rsid w:val="001E16D9"/>
    <w:rsid w:val="001F2836"/>
    <w:rsid w:val="001F6D91"/>
    <w:rsid w:val="002018F9"/>
    <w:rsid w:val="00204CA3"/>
    <w:rsid w:val="00207135"/>
    <w:rsid w:val="002146D1"/>
    <w:rsid w:val="00224419"/>
    <w:rsid w:val="00240215"/>
    <w:rsid w:val="002460F3"/>
    <w:rsid w:val="00246A75"/>
    <w:rsid w:val="00247150"/>
    <w:rsid w:val="00251535"/>
    <w:rsid w:val="0025293A"/>
    <w:rsid w:val="00270916"/>
    <w:rsid w:val="00274ABB"/>
    <w:rsid w:val="00276A73"/>
    <w:rsid w:val="0028222B"/>
    <w:rsid w:val="0028225C"/>
    <w:rsid w:val="00291612"/>
    <w:rsid w:val="00295CE0"/>
    <w:rsid w:val="002A3560"/>
    <w:rsid w:val="002A46E5"/>
    <w:rsid w:val="002A4DE9"/>
    <w:rsid w:val="002A546B"/>
    <w:rsid w:val="002A722F"/>
    <w:rsid w:val="002A7994"/>
    <w:rsid w:val="002B16A3"/>
    <w:rsid w:val="002B59AE"/>
    <w:rsid w:val="002C09B8"/>
    <w:rsid w:val="002C4D45"/>
    <w:rsid w:val="002C4F5A"/>
    <w:rsid w:val="002C52DA"/>
    <w:rsid w:val="002C67FB"/>
    <w:rsid w:val="002C6DCE"/>
    <w:rsid w:val="002D1C57"/>
    <w:rsid w:val="002D21FA"/>
    <w:rsid w:val="002D444B"/>
    <w:rsid w:val="002D5268"/>
    <w:rsid w:val="002D7E29"/>
    <w:rsid w:val="002E52FE"/>
    <w:rsid w:val="002E5D16"/>
    <w:rsid w:val="002E75C2"/>
    <w:rsid w:val="0030448A"/>
    <w:rsid w:val="00305F89"/>
    <w:rsid w:val="00317034"/>
    <w:rsid w:val="00331692"/>
    <w:rsid w:val="0033352E"/>
    <w:rsid w:val="00335C70"/>
    <w:rsid w:val="00337783"/>
    <w:rsid w:val="003431DC"/>
    <w:rsid w:val="00343C1F"/>
    <w:rsid w:val="003476AE"/>
    <w:rsid w:val="00354CC7"/>
    <w:rsid w:val="00354E50"/>
    <w:rsid w:val="00357947"/>
    <w:rsid w:val="00357D35"/>
    <w:rsid w:val="0036034C"/>
    <w:rsid w:val="003638FB"/>
    <w:rsid w:val="0036761D"/>
    <w:rsid w:val="0036796B"/>
    <w:rsid w:val="00387E93"/>
    <w:rsid w:val="00392892"/>
    <w:rsid w:val="003937D2"/>
    <w:rsid w:val="00397C58"/>
    <w:rsid w:val="003A2DC4"/>
    <w:rsid w:val="003A46BB"/>
    <w:rsid w:val="003B68F8"/>
    <w:rsid w:val="003B6E17"/>
    <w:rsid w:val="003C0DA5"/>
    <w:rsid w:val="003C7ED3"/>
    <w:rsid w:val="003D768E"/>
    <w:rsid w:val="003F7327"/>
    <w:rsid w:val="003F76F0"/>
    <w:rsid w:val="003F7868"/>
    <w:rsid w:val="00401A61"/>
    <w:rsid w:val="00405A15"/>
    <w:rsid w:val="00426D4E"/>
    <w:rsid w:val="00434EF3"/>
    <w:rsid w:val="00446E37"/>
    <w:rsid w:val="0047599F"/>
    <w:rsid w:val="00486AA2"/>
    <w:rsid w:val="00497A37"/>
    <w:rsid w:val="004B2BE3"/>
    <w:rsid w:val="004B4365"/>
    <w:rsid w:val="004B4BC4"/>
    <w:rsid w:val="004B6EDA"/>
    <w:rsid w:val="004C1D26"/>
    <w:rsid w:val="004C7646"/>
    <w:rsid w:val="004D563B"/>
    <w:rsid w:val="004F322D"/>
    <w:rsid w:val="004F7930"/>
    <w:rsid w:val="00513A34"/>
    <w:rsid w:val="00516D0D"/>
    <w:rsid w:val="0051702A"/>
    <w:rsid w:val="0053166B"/>
    <w:rsid w:val="0053543E"/>
    <w:rsid w:val="00537349"/>
    <w:rsid w:val="00551766"/>
    <w:rsid w:val="00552B48"/>
    <w:rsid w:val="00553425"/>
    <w:rsid w:val="00564509"/>
    <w:rsid w:val="00565B07"/>
    <w:rsid w:val="00571194"/>
    <w:rsid w:val="00571CEC"/>
    <w:rsid w:val="00571DA8"/>
    <w:rsid w:val="005752B5"/>
    <w:rsid w:val="005774AA"/>
    <w:rsid w:val="005832C0"/>
    <w:rsid w:val="00597478"/>
    <w:rsid w:val="005A0A59"/>
    <w:rsid w:val="005A0FCB"/>
    <w:rsid w:val="005A1D6A"/>
    <w:rsid w:val="005A2830"/>
    <w:rsid w:val="005A7A98"/>
    <w:rsid w:val="005B2758"/>
    <w:rsid w:val="005B4BD6"/>
    <w:rsid w:val="005C1815"/>
    <w:rsid w:val="005D3BFC"/>
    <w:rsid w:val="005D49C6"/>
    <w:rsid w:val="005E4292"/>
    <w:rsid w:val="005E7380"/>
    <w:rsid w:val="005E7D49"/>
    <w:rsid w:val="005F36E8"/>
    <w:rsid w:val="00600F42"/>
    <w:rsid w:val="00603762"/>
    <w:rsid w:val="00606559"/>
    <w:rsid w:val="0063040E"/>
    <w:rsid w:val="00636A04"/>
    <w:rsid w:val="00640C2C"/>
    <w:rsid w:val="00642D9A"/>
    <w:rsid w:val="00642F69"/>
    <w:rsid w:val="006460FD"/>
    <w:rsid w:val="00646DA2"/>
    <w:rsid w:val="006651C3"/>
    <w:rsid w:val="00665C14"/>
    <w:rsid w:val="00670CFF"/>
    <w:rsid w:val="00673B97"/>
    <w:rsid w:val="006745D3"/>
    <w:rsid w:val="0068646D"/>
    <w:rsid w:val="00693C37"/>
    <w:rsid w:val="00695404"/>
    <w:rsid w:val="00696BE3"/>
    <w:rsid w:val="00697973"/>
    <w:rsid w:val="006A0DE9"/>
    <w:rsid w:val="006A29FC"/>
    <w:rsid w:val="006A41E9"/>
    <w:rsid w:val="006A5855"/>
    <w:rsid w:val="006B3D84"/>
    <w:rsid w:val="006B6314"/>
    <w:rsid w:val="006B6580"/>
    <w:rsid w:val="006C56A6"/>
    <w:rsid w:val="006D02E5"/>
    <w:rsid w:val="006D0C9C"/>
    <w:rsid w:val="006D45FA"/>
    <w:rsid w:val="006D7688"/>
    <w:rsid w:val="0070037C"/>
    <w:rsid w:val="0070431E"/>
    <w:rsid w:val="00706802"/>
    <w:rsid w:val="00726C68"/>
    <w:rsid w:val="0072757C"/>
    <w:rsid w:val="00731E5C"/>
    <w:rsid w:val="00732D72"/>
    <w:rsid w:val="00743298"/>
    <w:rsid w:val="00754D55"/>
    <w:rsid w:val="00762CDB"/>
    <w:rsid w:val="007632A3"/>
    <w:rsid w:val="0077406D"/>
    <w:rsid w:val="007740F4"/>
    <w:rsid w:val="00781EA6"/>
    <w:rsid w:val="007A2C81"/>
    <w:rsid w:val="007A4FC5"/>
    <w:rsid w:val="007A6BEC"/>
    <w:rsid w:val="007A6BFF"/>
    <w:rsid w:val="007B1445"/>
    <w:rsid w:val="007C7800"/>
    <w:rsid w:val="007E0B08"/>
    <w:rsid w:val="007F1CA4"/>
    <w:rsid w:val="007F1F18"/>
    <w:rsid w:val="007F68D9"/>
    <w:rsid w:val="007F7E42"/>
    <w:rsid w:val="0080233B"/>
    <w:rsid w:val="0080315D"/>
    <w:rsid w:val="00805EAF"/>
    <w:rsid w:val="00806D80"/>
    <w:rsid w:val="00807FB9"/>
    <w:rsid w:val="00811283"/>
    <w:rsid w:val="00812DBE"/>
    <w:rsid w:val="008208A6"/>
    <w:rsid w:val="00822B48"/>
    <w:rsid w:val="008270B7"/>
    <w:rsid w:val="00831F22"/>
    <w:rsid w:val="00840A1D"/>
    <w:rsid w:val="008411D8"/>
    <w:rsid w:val="00841B77"/>
    <w:rsid w:val="00845A0A"/>
    <w:rsid w:val="00854EB7"/>
    <w:rsid w:val="00857808"/>
    <w:rsid w:val="00860156"/>
    <w:rsid w:val="008613BF"/>
    <w:rsid w:val="0086273D"/>
    <w:rsid w:val="008714BA"/>
    <w:rsid w:val="00890940"/>
    <w:rsid w:val="00891064"/>
    <w:rsid w:val="008A57C1"/>
    <w:rsid w:val="008A776E"/>
    <w:rsid w:val="008B10BD"/>
    <w:rsid w:val="008C0119"/>
    <w:rsid w:val="008C068A"/>
    <w:rsid w:val="008C3C3B"/>
    <w:rsid w:val="008D2D18"/>
    <w:rsid w:val="008D30DD"/>
    <w:rsid w:val="008D3B76"/>
    <w:rsid w:val="008E0764"/>
    <w:rsid w:val="008F279D"/>
    <w:rsid w:val="008F2B57"/>
    <w:rsid w:val="008F2C57"/>
    <w:rsid w:val="008F7D4F"/>
    <w:rsid w:val="00905D4E"/>
    <w:rsid w:val="00905F23"/>
    <w:rsid w:val="00906A2B"/>
    <w:rsid w:val="00911076"/>
    <w:rsid w:val="009202E5"/>
    <w:rsid w:val="00920451"/>
    <w:rsid w:val="009273A0"/>
    <w:rsid w:val="00935335"/>
    <w:rsid w:val="00935C07"/>
    <w:rsid w:val="00942D66"/>
    <w:rsid w:val="00943EF5"/>
    <w:rsid w:val="00944207"/>
    <w:rsid w:val="009542E5"/>
    <w:rsid w:val="00956762"/>
    <w:rsid w:val="00967818"/>
    <w:rsid w:val="00974E13"/>
    <w:rsid w:val="00980F73"/>
    <w:rsid w:val="00997F42"/>
    <w:rsid w:val="009A009F"/>
    <w:rsid w:val="009A13A1"/>
    <w:rsid w:val="009A2A64"/>
    <w:rsid w:val="009B6C49"/>
    <w:rsid w:val="009C4099"/>
    <w:rsid w:val="00A016D7"/>
    <w:rsid w:val="00A156EA"/>
    <w:rsid w:val="00A255E2"/>
    <w:rsid w:val="00A36246"/>
    <w:rsid w:val="00A373DE"/>
    <w:rsid w:val="00A46469"/>
    <w:rsid w:val="00A50F5F"/>
    <w:rsid w:val="00A52447"/>
    <w:rsid w:val="00A67EDF"/>
    <w:rsid w:val="00A87294"/>
    <w:rsid w:val="00A947F3"/>
    <w:rsid w:val="00AA369A"/>
    <w:rsid w:val="00AA67A7"/>
    <w:rsid w:val="00AB4035"/>
    <w:rsid w:val="00AC14E0"/>
    <w:rsid w:val="00AC6123"/>
    <w:rsid w:val="00AD2381"/>
    <w:rsid w:val="00AD7E13"/>
    <w:rsid w:val="00AE4554"/>
    <w:rsid w:val="00B04F4B"/>
    <w:rsid w:val="00B12E1C"/>
    <w:rsid w:val="00B148C9"/>
    <w:rsid w:val="00B2342B"/>
    <w:rsid w:val="00B246D6"/>
    <w:rsid w:val="00B25698"/>
    <w:rsid w:val="00B30C63"/>
    <w:rsid w:val="00B35F8A"/>
    <w:rsid w:val="00B5061E"/>
    <w:rsid w:val="00B52D7D"/>
    <w:rsid w:val="00B72C37"/>
    <w:rsid w:val="00B93944"/>
    <w:rsid w:val="00B93F99"/>
    <w:rsid w:val="00BC6CE6"/>
    <w:rsid w:val="00BE5623"/>
    <w:rsid w:val="00BE7FD0"/>
    <w:rsid w:val="00BF69E5"/>
    <w:rsid w:val="00C17759"/>
    <w:rsid w:val="00C215E0"/>
    <w:rsid w:val="00C22BEB"/>
    <w:rsid w:val="00C305A7"/>
    <w:rsid w:val="00C32196"/>
    <w:rsid w:val="00C35E8C"/>
    <w:rsid w:val="00C37681"/>
    <w:rsid w:val="00C557F2"/>
    <w:rsid w:val="00C60088"/>
    <w:rsid w:val="00C64819"/>
    <w:rsid w:val="00C66C36"/>
    <w:rsid w:val="00C76393"/>
    <w:rsid w:val="00C82151"/>
    <w:rsid w:val="00C841EB"/>
    <w:rsid w:val="00C93459"/>
    <w:rsid w:val="00C9721E"/>
    <w:rsid w:val="00CA069B"/>
    <w:rsid w:val="00CA6948"/>
    <w:rsid w:val="00CC474A"/>
    <w:rsid w:val="00CC621C"/>
    <w:rsid w:val="00CD1E6B"/>
    <w:rsid w:val="00CE47BB"/>
    <w:rsid w:val="00CF20DD"/>
    <w:rsid w:val="00CF2EA2"/>
    <w:rsid w:val="00CF3A12"/>
    <w:rsid w:val="00CF5791"/>
    <w:rsid w:val="00D13095"/>
    <w:rsid w:val="00D13E78"/>
    <w:rsid w:val="00D154F2"/>
    <w:rsid w:val="00D176FB"/>
    <w:rsid w:val="00D24A32"/>
    <w:rsid w:val="00D671B6"/>
    <w:rsid w:val="00D70ED8"/>
    <w:rsid w:val="00D73D0F"/>
    <w:rsid w:val="00D818BF"/>
    <w:rsid w:val="00D87706"/>
    <w:rsid w:val="00D90708"/>
    <w:rsid w:val="00DA2B4E"/>
    <w:rsid w:val="00DB32FE"/>
    <w:rsid w:val="00DB37F0"/>
    <w:rsid w:val="00DB772D"/>
    <w:rsid w:val="00DC009A"/>
    <w:rsid w:val="00DC1316"/>
    <w:rsid w:val="00DD0467"/>
    <w:rsid w:val="00DE4CD2"/>
    <w:rsid w:val="00DE58B4"/>
    <w:rsid w:val="00DF01CA"/>
    <w:rsid w:val="00DF4D2E"/>
    <w:rsid w:val="00E04BFC"/>
    <w:rsid w:val="00E1175E"/>
    <w:rsid w:val="00E12731"/>
    <w:rsid w:val="00E139C7"/>
    <w:rsid w:val="00E15D03"/>
    <w:rsid w:val="00E164C2"/>
    <w:rsid w:val="00E165E7"/>
    <w:rsid w:val="00E33557"/>
    <w:rsid w:val="00E42B52"/>
    <w:rsid w:val="00E47113"/>
    <w:rsid w:val="00E47607"/>
    <w:rsid w:val="00E47AB8"/>
    <w:rsid w:val="00E51524"/>
    <w:rsid w:val="00E54540"/>
    <w:rsid w:val="00E56825"/>
    <w:rsid w:val="00E63156"/>
    <w:rsid w:val="00E661A7"/>
    <w:rsid w:val="00E82AE4"/>
    <w:rsid w:val="00E95A36"/>
    <w:rsid w:val="00EA35B7"/>
    <w:rsid w:val="00EA3B36"/>
    <w:rsid w:val="00EA4837"/>
    <w:rsid w:val="00EA7A89"/>
    <w:rsid w:val="00EB006E"/>
    <w:rsid w:val="00EB730F"/>
    <w:rsid w:val="00ED101D"/>
    <w:rsid w:val="00ED245B"/>
    <w:rsid w:val="00ED5DF7"/>
    <w:rsid w:val="00EE5881"/>
    <w:rsid w:val="00EF0DA0"/>
    <w:rsid w:val="00EF6EE3"/>
    <w:rsid w:val="00F16548"/>
    <w:rsid w:val="00F20E6D"/>
    <w:rsid w:val="00F215F7"/>
    <w:rsid w:val="00F250DF"/>
    <w:rsid w:val="00F32318"/>
    <w:rsid w:val="00F34233"/>
    <w:rsid w:val="00F356D3"/>
    <w:rsid w:val="00F357E6"/>
    <w:rsid w:val="00F40656"/>
    <w:rsid w:val="00F47FF9"/>
    <w:rsid w:val="00F50668"/>
    <w:rsid w:val="00F8090D"/>
    <w:rsid w:val="00F81231"/>
    <w:rsid w:val="00F8188E"/>
    <w:rsid w:val="00F85657"/>
    <w:rsid w:val="00F91F15"/>
    <w:rsid w:val="00FA0A1B"/>
    <w:rsid w:val="00FB1CDD"/>
    <w:rsid w:val="00FE79E2"/>
    <w:rsid w:val="00FF47EC"/>
    <w:rsid w:val="00FF57D7"/>
    <w:rsid w:val="00FF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D1DD9"/>
  <w15:chartTrackingRefBased/>
  <w15:docId w15:val="{88110189-3A7A-4655-B070-119CD4ED4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FCB"/>
  </w:style>
  <w:style w:type="paragraph" w:styleId="Heading2">
    <w:name w:val="heading 2"/>
    <w:basedOn w:val="Normal"/>
    <w:next w:val="Normal"/>
    <w:link w:val="Heading2Char"/>
    <w:qFormat/>
    <w:rsid w:val="00E661A7"/>
    <w:pPr>
      <w:keepNext/>
      <w:widowControl w:val="0"/>
      <w:suppressAutoHyphens/>
      <w:autoSpaceDE w:val="0"/>
      <w:spacing w:before="240" w:after="120"/>
      <w:ind w:left="270" w:hanging="270"/>
      <w:outlineLvl w:val="1"/>
    </w:pPr>
    <w:rPr>
      <w:rFonts w:ascii="Arial" w:eastAsia="Times New Roman" w:hAnsi="Arial" w:cs="Arial"/>
      <w:kern w:val="1"/>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EF6EE3"/>
    <w:rPr>
      <w:rFonts w:eastAsia="Times New Roman" w:cs="Times New Roman"/>
      <w:sz w:val="20"/>
      <w:szCs w:val="20"/>
    </w:rPr>
  </w:style>
  <w:style w:type="character" w:customStyle="1" w:styleId="FootnoteTextChar">
    <w:name w:val="Footnote Text Char"/>
    <w:basedOn w:val="DefaultParagraphFont"/>
    <w:link w:val="FootnoteText"/>
    <w:rsid w:val="00EF6EE3"/>
    <w:rPr>
      <w:rFonts w:eastAsia="Times New Roman" w:cs="Times New Roman"/>
      <w:sz w:val="20"/>
      <w:szCs w:val="20"/>
    </w:rPr>
  </w:style>
  <w:style w:type="character" w:styleId="FootnoteReference">
    <w:name w:val="footnote reference"/>
    <w:basedOn w:val="DefaultParagraphFont"/>
    <w:rsid w:val="00EF6EE3"/>
    <w:rPr>
      <w:vertAlign w:val="superscript"/>
    </w:rPr>
  </w:style>
  <w:style w:type="character" w:styleId="Hyperlink">
    <w:name w:val="Hyperlink"/>
    <w:basedOn w:val="DefaultParagraphFont"/>
    <w:uiPriority w:val="99"/>
    <w:unhideWhenUsed/>
    <w:rsid w:val="00EF6EE3"/>
    <w:rPr>
      <w:color w:val="0563C1" w:themeColor="hyperlink"/>
      <w:u w:val="single"/>
    </w:rPr>
  </w:style>
  <w:style w:type="paragraph" w:styleId="Header">
    <w:name w:val="header"/>
    <w:basedOn w:val="Normal"/>
    <w:link w:val="HeaderChar"/>
    <w:uiPriority w:val="99"/>
    <w:unhideWhenUsed/>
    <w:rsid w:val="000775F5"/>
    <w:pPr>
      <w:tabs>
        <w:tab w:val="center" w:pos="4680"/>
        <w:tab w:val="right" w:pos="9360"/>
      </w:tabs>
    </w:pPr>
  </w:style>
  <w:style w:type="character" w:customStyle="1" w:styleId="HeaderChar">
    <w:name w:val="Header Char"/>
    <w:basedOn w:val="DefaultParagraphFont"/>
    <w:link w:val="Header"/>
    <w:uiPriority w:val="99"/>
    <w:rsid w:val="000775F5"/>
  </w:style>
  <w:style w:type="paragraph" w:styleId="Footer">
    <w:name w:val="footer"/>
    <w:basedOn w:val="Normal"/>
    <w:link w:val="FooterChar"/>
    <w:uiPriority w:val="99"/>
    <w:unhideWhenUsed/>
    <w:rsid w:val="000775F5"/>
    <w:pPr>
      <w:tabs>
        <w:tab w:val="center" w:pos="4680"/>
        <w:tab w:val="right" w:pos="9360"/>
      </w:tabs>
    </w:pPr>
  </w:style>
  <w:style w:type="character" w:customStyle="1" w:styleId="FooterChar">
    <w:name w:val="Footer Char"/>
    <w:basedOn w:val="DefaultParagraphFont"/>
    <w:link w:val="Footer"/>
    <w:uiPriority w:val="99"/>
    <w:rsid w:val="000775F5"/>
  </w:style>
  <w:style w:type="character" w:customStyle="1" w:styleId="Heading2Char">
    <w:name w:val="Heading 2 Char"/>
    <w:basedOn w:val="DefaultParagraphFont"/>
    <w:link w:val="Heading2"/>
    <w:rsid w:val="00E661A7"/>
    <w:rPr>
      <w:rFonts w:ascii="Arial" w:eastAsia="Times New Roman" w:hAnsi="Arial" w:cs="Arial"/>
      <w:kern w:val="1"/>
      <w:sz w:val="32"/>
      <w:szCs w:val="32"/>
      <w:lang w:eastAsia="zh-CN"/>
    </w:rPr>
  </w:style>
  <w:style w:type="paragraph" w:customStyle="1" w:styleId="WW-Oletus">
    <w:name w:val="WW-Oletus"/>
    <w:rsid w:val="00E661A7"/>
    <w:pPr>
      <w:widowControl w:val="0"/>
      <w:suppressAutoHyphens/>
      <w:autoSpaceDE w:val="0"/>
    </w:pPr>
    <w:rPr>
      <w:rFonts w:eastAsia="Times New Roman" w:cs="Times New Roman"/>
      <w:kern w:val="1"/>
      <w:szCs w:val="24"/>
      <w:lang w:val="fi-FI" w:eastAsia="zh-CN" w:bidi="hi-IN"/>
    </w:rPr>
  </w:style>
  <w:style w:type="paragraph" w:styleId="ListParagraph">
    <w:name w:val="List Paragraph"/>
    <w:basedOn w:val="Normal"/>
    <w:uiPriority w:val="34"/>
    <w:qFormat/>
    <w:rsid w:val="00646DA2"/>
    <w:pPr>
      <w:ind w:left="720"/>
      <w:contextualSpacing/>
    </w:pPr>
  </w:style>
  <w:style w:type="paragraph" w:styleId="EndnoteText">
    <w:name w:val="endnote text"/>
    <w:basedOn w:val="Normal"/>
    <w:link w:val="EndnoteTextChar"/>
    <w:uiPriority w:val="99"/>
    <w:semiHidden/>
    <w:unhideWhenUsed/>
    <w:rsid w:val="006A41E9"/>
    <w:rPr>
      <w:sz w:val="20"/>
      <w:szCs w:val="20"/>
    </w:rPr>
  </w:style>
  <w:style w:type="character" w:customStyle="1" w:styleId="EndnoteTextChar">
    <w:name w:val="Endnote Text Char"/>
    <w:basedOn w:val="DefaultParagraphFont"/>
    <w:link w:val="EndnoteText"/>
    <w:uiPriority w:val="99"/>
    <w:semiHidden/>
    <w:rsid w:val="006A41E9"/>
    <w:rPr>
      <w:sz w:val="20"/>
      <w:szCs w:val="20"/>
    </w:rPr>
  </w:style>
  <w:style w:type="paragraph" w:styleId="DocumentMap">
    <w:name w:val="Document Map"/>
    <w:basedOn w:val="Normal"/>
    <w:link w:val="DocumentMapChar"/>
    <w:uiPriority w:val="99"/>
    <w:semiHidden/>
    <w:unhideWhenUsed/>
    <w:rsid w:val="008C0119"/>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C0119"/>
    <w:rPr>
      <w:rFonts w:ascii="Segoe UI" w:hAnsi="Segoe UI" w:cs="Segoe UI"/>
      <w:sz w:val="16"/>
      <w:szCs w:val="16"/>
    </w:rPr>
  </w:style>
  <w:style w:type="character" w:styleId="EndnoteReference">
    <w:name w:val="endnote reference"/>
    <w:basedOn w:val="DefaultParagraphFont"/>
    <w:semiHidden/>
    <w:rsid w:val="008C0119"/>
    <w:rPr>
      <w:vertAlign w:val="superscript"/>
    </w:rPr>
  </w:style>
  <w:style w:type="character" w:customStyle="1" w:styleId="pubinfo">
    <w:name w:val="pubinfo"/>
    <w:basedOn w:val="DefaultParagraphFont"/>
    <w:rsid w:val="00B50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873672">
      <w:bodyDiv w:val="1"/>
      <w:marLeft w:val="0"/>
      <w:marRight w:val="0"/>
      <w:marTop w:val="0"/>
      <w:marBottom w:val="0"/>
      <w:divBdr>
        <w:top w:val="none" w:sz="0" w:space="0" w:color="auto"/>
        <w:left w:val="none" w:sz="0" w:space="0" w:color="auto"/>
        <w:bottom w:val="none" w:sz="0" w:space="0" w:color="auto"/>
        <w:right w:val="none" w:sz="0" w:space="0" w:color="auto"/>
      </w:divBdr>
    </w:div>
    <w:div w:id="209284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abs/10.1111/cogs.12609" TargetMode="External"/><Relationship Id="rId13" Type="http://schemas.openxmlformats.org/officeDocument/2006/relationships/hyperlink" Target="https://doi.org/10.1016/j.cognition.2003.10.003" TargetMode="External"/><Relationship Id="rId18" Type="http://schemas.openxmlformats.org/officeDocument/2006/relationships/hyperlink" Target="https://doi.org/10.1080/0004840100363983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nlinelibrary.wiley.com/doi/abs/10.1111/cogs.12609" TargetMode="External"/><Relationship Id="rId12" Type="http://schemas.openxmlformats.org/officeDocument/2006/relationships/hyperlink" Target="https://doi.org/10.1387/theoria.6223" TargetMode="External"/><Relationship Id="rId17" Type="http://schemas.openxmlformats.org/officeDocument/2006/relationships/hyperlink" Target="https://platostanfordedu/archives/sum2016/entries/essential-accidental/" TargetMode="External"/><Relationship Id="rId2" Type="http://schemas.openxmlformats.org/officeDocument/2006/relationships/styles" Target="styles.xml"/><Relationship Id="rId16" Type="http://schemas.openxmlformats.org/officeDocument/2006/relationships/hyperlink" Target="https://doi.org/10.1093/analys/ann007"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theoria20122712" TargetMode="External"/><Relationship Id="rId5" Type="http://schemas.openxmlformats.org/officeDocument/2006/relationships/footnotes" Target="footnotes.xml"/><Relationship Id="rId15" Type="http://schemas.openxmlformats.org/officeDocument/2006/relationships/hyperlink" Target="https://doi.org/10.1093/analys/anp095" TargetMode="External"/><Relationship Id="rId10" Type="http://schemas.openxmlformats.org/officeDocument/2006/relationships/hyperlink" Target="https://doi.org/10.1111/j.1933-1592.2010.00478.x" TargetMode="External"/><Relationship Id="rId19" Type="http://schemas.openxmlformats.org/officeDocument/2006/relationships/hyperlink" Target="https://doi.org/10.1080/09515089.2010.490944" TargetMode="External"/><Relationship Id="rId4" Type="http://schemas.openxmlformats.org/officeDocument/2006/relationships/webSettings" Target="webSettings.xml"/><Relationship Id="rId9" Type="http://schemas.openxmlformats.org/officeDocument/2006/relationships/hyperlink" Target="https://doi.org/10.1016/j.cognition.2016.12.014" TargetMode="External"/><Relationship Id="rId14" Type="http://schemas.openxmlformats.org/officeDocument/2006/relationships/hyperlink" Target="https://doi.org/10.1111/j.1933-1592.2011.00555.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4922</TotalTime>
  <Pages>25</Pages>
  <Words>10712</Words>
  <Characters>61064</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CUNY Graduate Center</Company>
  <LinksUpToDate>false</LinksUpToDate>
  <CharactersWithSpaces>71633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Devitt, Michael</dc:creator>
  <cp:keywords/>
  <dc:description/>
  <cp:lastModifiedBy>Devitt, Michael</cp:lastModifiedBy>
  <cp:revision>21</cp:revision>
  <dcterms:created xsi:type="dcterms:W3CDTF">2020-05-21T23:24:00Z</dcterms:created>
  <dcterms:modified xsi:type="dcterms:W3CDTF">2020-06-08T13:17:00Z</dcterms:modified>
</cp:coreProperties>
</file>